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8F" w:rsidRPr="00513C01" w:rsidRDefault="00165262" w:rsidP="00775D74">
      <w:pPr>
        <w:jc w:val="center"/>
        <w:rPr>
          <w:rFonts w:ascii="Times New Roman" w:hAnsi="Times New Roman"/>
          <w:b/>
          <w:sz w:val="32"/>
          <w:szCs w:val="32"/>
        </w:rPr>
      </w:pPr>
      <w:r w:rsidRPr="00513C01">
        <w:rPr>
          <w:rFonts w:ascii="Times New Roman" w:hAnsi="Times New Roman"/>
          <w:b/>
          <w:sz w:val="32"/>
          <w:szCs w:val="32"/>
        </w:rPr>
        <w:t xml:space="preserve">IZVJEŠTAJ O ZADUŽIVANJU </w:t>
      </w:r>
      <w:r w:rsidR="005802C5">
        <w:rPr>
          <w:rFonts w:ascii="Times New Roman" w:hAnsi="Times New Roman"/>
          <w:b/>
          <w:sz w:val="32"/>
          <w:szCs w:val="32"/>
        </w:rPr>
        <w:t>NA DOMAĆEM I STRANOM TRŽIŠTU KAPITALA</w:t>
      </w:r>
      <w:r w:rsidR="0048098F" w:rsidRPr="00513C01">
        <w:rPr>
          <w:rFonts w:ascii="Times New Roman" w:hAnsi="Times New Roman"/>
          <w:b/>
          <w:sz w:val="32"/>
          <w:szCs w:val="32"/>
        </w:rPr>
        <w:t xml:space="preserve"> </w:t>
      </w:r>
    </w:p>
    <w:p w:rsidR="00A64D10" w:rsidRPr="00095FE7" w:rsidRDefault="004662DD" w:rsidP="00095FE7">
      <w:pPr>
        <w:jc w:val="center"/>
        <w:rPr>
          <w:rFonts w:ascii="Times New Roman" w:hAnsi="Times New Roman"/>
          <w:b/>
          <w:sz w:val="32"/>
          <w:szCs w:val="32"/>
        </w:rPr>
      </w:pPr>
      <w:r w:rsidRPr="003C65C3">
        <w:rPr>
          <w:rFonts w:ascii="Times New Roman" w:hAnsi="Times New Roman"/>
          <w:b/>
          <w:sz w:val="32"/>
          <w:szCs w:val="32"/>
        </w:rPr>
        <w:t xml:space="preserve">OD </w:t>
      </w:r>
      <w:r w:rsidR="00F658C2" w:rsidRPr="003C65C3">
        <w:rPr>
          <w:rFonts w:ascii="Times New Roman" w:hAnsi="Times New Roman"/>
          <w:b/>
          <w:sz w:val="32"/>
          <w:szCs w:val="32"/>
        </w:rPr>
        <w:t>1. SIJEČNJA DO 3</w:t>
      </w:r>
      <w:r w:rsidR="00F9180B" w:rsidRPr="003C65C3">
        <w:rPr>
          <w:rFonts w:ascii="Times New Roman" w:hAnsi="Times New Roman"/>
          <w:b/>
          <w:sz w:val="32"/>
          <w:szCs w:val="32"/>
        </w:rPr>
        <w:t>1</w:t>
      </w:r>
      <w:r w:rsidR="00F658C2" w:rsidRPr="003C65C3">
        <w:rPr>
          <w:rFonts w:ascii="Times New Roman" w:hAnsi="Times New Roman"/>
          <w:b/>
          <w:sz w:val="32"/>
          <w:szCs w:val="32"/>
        </w:rPr>
        <w:t xml:space="preserve">. </w:t>
      </w:r>
      <w:r w:rsidR="00F9180B" w:rsidRPr="003C65C3">
        <w:rPr>
          <w:rFonts w:ascii="Times New Roman" w:hAnsi="Times New Roman"/>
          <w:b/>
          <w:sz w:val="32"/>
          <w:szCs w:val="32"/>
        </w:rPr>
        <w:t>PROSINCA</w:t>
      </w:r>
      <w:r w:rsidR="00113749" w:rsidRPr="003C65C3">
        <w:rPr>
          <w:rFonts w:ascii="Times New Roman" w:hAnsi="Times New Roman"/>
          <w:b/>
          <w:sz w:val="32"/>
          <w:szCs w:val="32"/>
        </w:rPr>
        <w:t xml:space="preserve"> </w:t>
      </w:r>
      <w:r w:rsidR="00C14420" w:rsidRPr="003C65C3">
        <w:rPr>
          <w:rFonts w:ascii="Times New Roman" w:hAnsi="Times New Roman"/>
          <w:b/>
          <w:sz w:val="32"/>
          <w:szCs w:val="32"/>
        </w:rPr>
        <w:t>20</w:t>
      </w:r>
      <w:r w:rsidR="008C216C" w:rsidRPr="003C65C3">
        <w:rPr>
          <w:rFonts w:ascii="Times New Roman" w:hAnsi="Times New Roman"/>
          <w:b/>
          <w:sz w:val="32"/>
          <w:szCs w:val="32"/>
        </w:rPr>
        <w:t>20</w:t>
      </w:r>
      <w:r w:rsidR="002811B3" w:rsidRPr="003C65C3">
        <w:rPr>
          <w:rFonts w:ascii="Times New Roman" w:hAnsi="Times New Roman"/>
          <w:b/>
          <w:sz w:val="32"/>
          <w:szCs w:val="32"/>
        </w:rPr>
        <w:t>.</w:t>
      </w:r>
      <w:r w:rsidR="00513C01" w:rsidRPr="003C65C3">
        <w:rPr>
          <w:rFonts w:ascii="Times New Roman" w:hAnsi="Times New Roman"/>
          <w:b/>
          <w:sz w:val="32"/>
          <w:szCs w:val="32"/>
        </w:rPr>
        <w:t xml:space="preserve"> GODIN</w:t>
      </w:r>
      <w:r w:rsidR="00F658C2" w:rsidRPr="003C65C3">
        <w:rPr>
          <w:rFonts w:ascii="Times New Roman" w:hAnsi="Times New Roman"/>
          <w:b/>
          <w:sz w:val="32"/>
          <w:szCs w:val="32"/>
        </w:rPr>
        <w:t>E</w:t>
      </w:r>
    </w:p>
    <w:p w:rsidR="002E3D53" w:rsidRDefault="002E3D53" w:rsidP="002E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E3D53" w:rsidRDefault="002E3D53" w:rsidP="002E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E3D53" w:rsidRDefault="002E3D53" w:rsidP="005A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</w:t>
      </w:r>
      <w:r w:rsidRPr="002E3D53">
        <w:rPr>
          <w:rFonts w:ascii="Times New Roman" w:eastAsia="Times New Roman" w:hAnsi="Times New Roman"/>
          <w:sz w:val="24"/>
          <w:szCs w:val="24"/>
          <w:lang w:eastAsia="hr-HR"/>
        </w:rPr>
        <w:t>Zaduživanje jedinice lokalne i područne (regionalne) samouprave, kao i izdavanje jamstava i suglasnosti pravnim osobama u većinskom izravnom ili neizravnom vlasništvu jedinice lokalne i područne (regionalne) samouprave i ustanovama čiji je osnivač, regulirano je Zakonom o proračunu (</w:t>
      </w:r>
      <w:r w:rsidR="00F677EF"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Pr="002E3D53">
        <w:rPr>
          <w:rFonts w:ascii="Times New Roman" w:eastAsia="Times New Roman" w:hAnsi="Times New Roman"/>
          <w:sz w:val="24"/>
          <w:szCs w:val="24"/>
          <w:lang w:eastAsia="hr-HR"/>
        </w:rPr>
        <w:t>Narodne novine</w:t>
      </w:r>
      <w:r w:rsidR="00F677EF">
        <w:rPr>
          <w:rFonts w:ascii="Times New Roman" w:eastAsia="Times New Roman" w:hAnsi="Times New Roman"/>
          <w:sz w:val="24"/>
          <w:szCs w:val="24"/>
          <w:lang w:eastAsia="hr-HR"/>
        </w:rPr>
        <w:t>“,</w:t>
      </w:r>
      <w:r w:rsidRPr="002E3D53">
        <w:rPr>
          <w:rFonts w:ascii="Times New Roman" w:eastAsia="Times New Roman" w:hAnsi="Times New Roman"/>
          <w:sz w:val="24"/>
          <w:szCs w:val="24"/>
          <w:lang w:eastAsia="hr-HR"/>
        </w:rPr>
        <w:t xml:space="preserve"> broj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87/08, 136/12 i 15/15) i Pravilnikom o postupku zaduživanja te davanja jamstava i suglasnosti jedinica lokalne i područne (regionalne) samouprave</w:t>
      </w:r>
      <w:r w:rsidR="008B08DC"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r w:rsidR="00F677EF"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="008B08DC">
        <w:rPr>
          <w:rFonts w:ascii="Times New Roman" w:eastAsia="Times New Roman" w:hAnsi="Times New Roman"/>
          <w:sz w:val="24"/>
          <w:szCs w:val="24"/>
          <w:lang w:eastAsia="hr-HR"/>
        </w:rPr>
        <w:t>Narodne novine</w:t>
      </w:r>
      <w:r w:rsidR="00F677EF">
        <w:rPr>
          <w:rFonts w:ascii="Times New Roman" w:eastAsia="Times New Roman" w:hAnsi="Times New Roman"/>
          <w:sz w:val="24"/>
          <w:szCs w:val="24"/>
          <w:lang w:eastAsia="hr-HR"/>
        </w:rPr>
        <w:t>“,</w:t>
      </w:r>
      <w:r w:rsidR="008B08DC">
        <w:rPr>
          <w:rFonts w:ascii="Times New Roman" w:eastAsia="Times New Roman" w:hAnsi="Times New Roman"/>
          <w:sz w:val="24"/>
          <w:szCs w:val="24"/>
          <w:lang w:eastAsia="hr-HR"/>
        </w:rPr>
        <w:t xml:space="preserve"> broj 55/09 i 139/10).</w:t>
      </w:r>
    </w:p>
    <w:p w:rsidR="002E3D53" w:rsidRDefault="002E3D53" w:rsidP="005A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B08DC" w:rsidRDefault="002E3D53" w:rsidP="005A045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hr-HR"/>
        </w:rPr>
      </w:pPr>
      <w:r w:rsidRPr="002E3D53">
        <w:rPr>
          <w:rFonts w:ascii="Times New Roman" w:eastAsia="Times New Roman" w:hAnsi="Times New Roman"/>
          <w:sz w:val="24"/>
          <w:szCs w:val="20"/>
          <w:lang w:eastAsia="hr-HR"/>
        </w:rPr>
        <w:t xml:space="preserve">Grad Šibenik može se dugoročno zaduživati uzimanjem kredita, zajmova i izdavanjem vrijednosnih papira, a ukupna godišnja obveza  Grada Šibenika može iznositi najviše do 20 posto ostvarenih prihoda (umanjenih za prihode od domaćih i stranih pomoći i donacija, iz posebnih ugovora: sufinanciranje građana za mjesnu samoupravu i ostvarene s osnove dodatnih udjela u porezu na dohodak i pomoći izravnanja za financiranje decentraliziranih funkcija) u godini koja prethodi godini u kojoj se zadužuje.      </w:t>
      </w:r>
    </w:p>
    <w:p w:rsidR="003D2F04" w:rsidRDefault="002E3D53" w:rsidP="005A045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hr-HR"/>
        </w:rPr>
      </w:pPr>
      <w:r w:rsidRPr="002E3D53">
        <w:rPr>
          <w:rFonts w:ascii="Times New Roman" w:eastAsia="Times New Roman" w:hAnsi="Times New Roman"/>
          <w:sz w:val="24"/>
          <w:szCs w:val="20"/>
          <w:lang w:eastAsia="hr-HR"/>
        </w:rPr>
        <w:t>U iznos ukupne godišnje obveze uključen je iznos prosječnog godišnjeg anuiteta po kreditima, zajmovima, obveze na osnovi izdanih vrijednosnih papira i danih jamstava i suglasnosti, te dospjele nepodmirene obveze iz prethodnih godina, u skladu s Zakonom o proračunu („Narodne novine”</w:t>
      </w:r>
      <w:r w:rsidR="00FB174E">
        <w:rPr>
          <w:rFonts w:ascii="Times New Roman" w:eastAsia="Times New Roman" w:hAnsi="Times New Roman"/>
          <w:sz w:val="24"/>
          <w:szCs w:val="20"/>
          <w:lang w:eastAsia="hr-HR"/>
        </w:rPr>
        <w:t xml:space="preserve"> </w:t>
      </w:r>
      <w:r w:rsidRPr="002E3D53">
        <w:rPr>
          <w:rFonts w:ascii="Times New Roman" w:eastAsia="Times New Roman" w:hAnsi="Times New Roman"/>
          <w:sz w:val="24"/>
          <w:szCs w:val="20"/>
          <w:lang w:eastAsia="hr-HR"/>
        </w:rPr>
        <w:t xml:space="preserve"> broj 87/08,</w:t>
      </w:r>
      <w:r w:rsidR="00623076">
        <w:rPr>
          <w:rFonts w:ascii="Times New Roman" w:eastAsia="Times New Roman" w:hAnsi="Times New Roman"/>
          <w:sz w:val="24"/>
          <w:szCs w:val="20"/>
          <w:lang w:eastAsia="hr-HR"/>
        </w:rPr>
        <w:t xml:space="preserve"> </w:t>
      </w:r>
      <w:r w:rsidRPr="002E3D53">
        <w:rPr>
          <w:rFonts w:ascii="Times New Roman" w:eastAsia="Times New Roman" w:hAnsi="Times New Roman"/>
          <w:sz w:val="24"/>
          <w:szCs w:val="20"/>
          <w:lang w:eastAsia="hr-HR"/>
        </w:rPr>
        <w:t xml:space="preserve">136/12 i 15/15). </w:t>
      </w:r>
    </w:p>
    <w:p w:rsidR="002E3D53" w:rsidRDefault="003D2F04" w:rsidP="005A045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/>
          <w:sz w:val="24"/>
          <w:szCs w:val="20"/>
          <w:lang w:eastAsia="hr-HR"/>
        </w:rPr>
        <w:t>L</w:t>
      </w:r>
      <w:r w:rsidR="002E3D53" w:rsidRPr="002E3D53">
        <w:rPr>
          <w:rFonts w:ascii="Times New Roman" w:eastAsia="Times New Roman" w:hAnsi="Times New Roman"/>
          <w:sz w:val="24"/>
          <w:szCs w:val="20"/>
          <w:lang w:eastAsia="hr-HR"/>
        </w:rPr>
        <w:t>imit ostvarenih prihoda se ne odnosi na projekte koji se sufinanciraju iz pretpristupnih programa i fondova Europske unije i na projekte iz područja unapređenja energetske učinkovitosti.</w:t>
      </w:r>
    </w:p>
    <w:p w:rsidR="0092681A" w:rsidRPr="0092681A" w:rsidRDefault="0092681A" w:rsidP="005A045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hr-HR"/>
        </w:rPr>
      </w:pPr>
    </w:p>
    <w:p w:rsidR="009A5276" w:rsidRDefault="008B08DC" w:rsidP="00CA303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hr-HR"/>
        </w:rPr>
      </w:pPr>
      <w:r w:rsidRPr="00CA3035">
        <w:rPr>
          <w:rFonts w:ascii="Times New Roman" w:eastAsia="Times New Roman" w:hAnsi="Times New Roman"/>
          <w:sz w:val="24"/>
          <w:szCs w:val="20"/>
          <w:lang w:eastAsia="hr-HR"/>
        </w:rPr>
        <w:t xml:space="preserve">            </w:t>
      </w:r>
      <w:r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Grad Šibenik </w:t>
      </w:r>
      <w:r w:rsidR="004A5E0D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se </w:t>
      </w:r>
      <w:r w:rsidR="00DE2D5F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u </w:t>
      </w:r>
      <w:r w:rsidR="001C0D9E" w:rsidRPr="00532AB9">
        <w:rPr>
          <w:rFonts w:ascii="Times New Roman" w:eastAsia="Times New Roman" w:hAnsi="Times New Roman"/>
          <w:sz w:val="24"/>
          <w:szCs w:val="20"/>
          <w:lang w:eastAsia="hr-HR"/>
        </w:rPr>
        <w:t>razdoblju od 01. siječnja do 3</w:t>
      </w:r>
      <w:r w:rsidR="00120223" w:rsidRPr="00532AB9">
        <w:rPr>
          <w:rFonts w:ascii="Times New Roman" w:eastAsia="Times New Roman" w:hAnsi="Times New Roman"/>
          <w:sz w:val="24"/>
          <w:szCs w:val="20"/>
          <w:lang w:eastAsia="hr-HR"/>
        </w:rPr>
        <w:t>1</w:t>
      </w:r>
      <w:r w:rsidR="001C0D9E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. </w:t>
      </w:r>
      <w:r w:rsidR="00120223" w:rsidRPr="00532AB9">
        <w:rPr>
          <w:rFonts w:ascii="Times New Roman" w:eastAsia="Times New Roman" w:hAnsi="Times New Roman"/>
          <w:sz w:val="24"/>
          <w:szCs w:val="20"/>
          <w:lang w:eastAsia="hr-HR"/>
        </w:rPr>
        <w:t>prosinca</w:t>
      </w:r>
      <w:r w:rsidR="001C0D9E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 </w:t>
      </w:r>
      <w:r w:rsidR="001144A3" w:rsidRPr="00532AB9">
        <w:rPr>
          <w:rFonts w:ascii="Times New Roman" w:eastAsia="Times New Roman" w:hAnsi="Times New Roman"/>
          <w:sz w:val="24"/>
          <w:szCs w:val="20"/>
          <w:lang w:eastAsia="hr-HR"/>
        </w:rPr>
        <w:t>20</w:t>
      </w:r>
      <w:r w:rsidR="008C216C" w:rsidRPr="00532AB9">
        <w:rPr>
          <w:rFonts w:ascii="Times New Roman" w:eastAsia="Times New Roman" w:hAnsi="Times New Roman"/>
          <w:sz w:val="24"/>
          <w:szCs w:val="20"/>
          <w:lang w:eastAsia="hr-HR"/>
        </w:rPr>
        <w:t>20</w:t>
      </w:r>
      <w:r w:rsidR="001144A3" w:rsidRPr="00532AB9">
        <w:rPr>
          <w:rFonts w:ascii="Times New Roman" w:eastAsia="Times New Roman" w:hAnsi="Times New Roman"/>
          <w:sz w:val="24"/>
          <w:szCs w:val="20"/>
          <w:lang w:eastAsia="hr-HR"/>
        </w:rPr>
        <w:t>. godin</w:t>
      </w:r>
      <w:r w:rsidR="001C0D9E" w:rsidRPr="00532AB9">
        <w:rPr>
          <w:rFonts w:ascii="Times New Roman" w:eastAsia="Times New Roman" w:hAnsi="Times New Roman"/>
          <w:sz w:val="24"/>
          <w:szCs w:val="20"/>
          <w:lang w:eastAsia="hr-HR"/>
        </w:rPr>
        <w:t>e</w:t>
      </w:r>
      <w:r w:rsidR="004A5E0D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 </w:t>
      </w:r>
      <w:r w:rsidRPr="00532AB9">
        <w:rPr>
          <w:rFonts w:ascii="Times New Roman" w:eastAsia="Times New Roman" w:hAnsi="Times New Roman"/>
          <w:sz w:val="24"/>
          <w:szCs w:val="20"/>
          <w:lang w:eastAsia="hr-HR"/>
        </w:rPr>
        <w:t>zaduži</w:t>
      </w:r>
      <w:r w:rsidR="00120223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o kod Hrvatske poštanske banke d.d., Zagreb u iznosu od 27.500.000,00 kn. Naime, </w:t>
      </w:r>
      <w:r w:rsidR="0092681A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 nastavno na gore navedeno, ostvareni proračunski prihodi Grada Šibenika u 2019. godini, umanjeni za prihode iz članka 88. stavka 4. Zakona o proračunu, iznosili su 173.922.452,00 kuna. Udio godišnjeg obroka (anuiteta) traženog kredita u ostvarenim prihodima iznos</w:t>
      </w:r>
      <w:r w:rsidR="00FF2B22" w:rsidRPr="00532AB9">
        <w:rPr>
          <w:rFonts w:ascii="Times New Roman" w:eastAsia="Times New Roman" w:hAnsi="Times New Roman"/>
          <w:sz w:val="24"/>
          <w:szCs w:val="20"/>
          <w:lang w:eastAsia="hr-HR"/>
        </w:rPr>
        <w:t>io je</w:t>
      </w:r>
      <w:r w:rsidR="0092681A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 1,45%, a ako se tomu pribroji godišnji anuitet kredita iz prethodnih razdoblja te dospjele nepodmirene obveze iz prethodnih razdoblja, tada je ukupna obveza Grada </w:t>
      </w:r>
      <w:r w:rsidR="00AA21BE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bila </w:t>
      </w:r>
      <w:r w:rsidR="0092681A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8,69%, što je bilo u okviru Zakonom propisane granice. </w:t>
      </w:r>
    </w:p>
    <w:p w:rsidR="00CA3035" w:rsidRPr="00532AB9" w:rsidRDefault="00CA3035" w:rsidP="00CA303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hr-HR"/>
        </w:rPr>
      </w:pPr>
    </w:p>
    <w:p w:rsidR="002E3D53" w:rsidRPr="00532AB9" w:rsidRDefault="0092681A" w:rsidP="005A045E">
      <w:pPr>
        <w:jc w:val="both"/>
        <w:rPr>
          <w:rFonts w:ascii="Times New Roman" w:eastAsia="Times New Roman" w:hAnsi="Times New Roman"/>
          <w:sz w:val="24"/>
          <w:szCs w:val="20"/>
          <w:lang w:eastAsia="hr-HR"/>
        </w:rPr>
      </w:pPr>
      <w:r w:rsidRPr="00532AB9">
        <w:rPr>
          <w:rFonts w:ascii="Times New Roman" w:eastAsia="Times New Roman" w:hAnsi="Times New Roman"/>
          <w:sz w:val="24"/>
          <w:szCs w:val="20"/>
          <w:lang w:eastAsia="hr-HR"/>
        </w:rPr>
        <w:t>U</w:t>
      </w:r>
      <w:r w:rsidR="00C774F8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 nastavku </w:t>
      </w:r>
      <w:r w:rsidR="00DE2D5F" w:rsidRPr="00532AB9">
        <w:rPr>
          <w:rFonts w:ascii="Times New Roman" w:eastAsia="Times New Roman" w:hAnsi="Times New Roman"/>
          <w:sz w:val="24"/>
          <w:szCs w:val="20"/>
          <w:lang w:eastAsia="hr-HR"/>
        </w:rPr>
        <w:t>donosimo pregled</w:t>
      </w:r>
      <w:r w:rsidR="004A5E0D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 stanja obveza po </w:t>
      </w:r>
      <w:r w:rsidR="00BC3D44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odobrenim </w:t>
      </w:r>
      <w:r w:rsidR="004A5E0D" w:rsidRPr="00532AB9">
        <w:rPr>
          <w:rFonts w:ascii="Times New Roman" w:eastAsia="Times New Roman" w:hAnsi="Times New Roman"/>
          <w:sz w:val="24"/>
          <w:szCs w:val="20"/>
          <w:lang w:eastAsia="hr-HR"/>
        </w:rPr>
        <w:t>dugoročnim kreditima, zajm</w:t>
      </w:r>
      <w:r w:rsidR="00C92DDA" w:rsidRPr="00532AB9">
        <w:rPr>
          <w:rFonts w:ascii="Times New Roman" w:eastAsia="Times New Roman" w:hAnsi="Times New Roman"/>
          <w:sz w:val="24"/>
          <w:szCs w:val="20"/>
          <w:lang w:eastAsia="hr-HR"/>
        </w:rPr>
        <w:t>ovima za razdoblj</w:t>
      </w:r>
      <w:r w:rsidR="001144A3" w:rsidRPr="00532AB9">
        <w:rPr>
          <w:rFonts w:ascii="Times New Roman" w:eastAsia="Times New Roman" w:hAnsi="Times New Roman"/>
          <w:sz w:val="24"/>
          <w:szCs w:val="20"/>
          <w:lang w:eastAsia="hr-HR"/>
        </w:rPr>
        <w:t>e do 3</w:t>
      </w:r>
      <w:r w:rsidR="00AA21BE" w:rsidRPr="00532AB9">
        <w:rPr>
          <w:rFonts w:ascii="Times New Roman" w:eastAsia="Times New Roman" w:hAnsi="Times New Roman"/>
          <w:sz w:val="24"/>
          <w:szCs w:val="20"/>
          <w:lang w:eastAsia="hr-HR"/>
        </w:rPr>
        <w:t>1</w:t>
      </w:r>
      <w:r w:rsidR="001144A3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. </w:t>
      </w:r>
      <w:r w:rsidR="00AA21BE" w:rsidRPr="00532AB9">
        <w:rPr>
          <w:rFonts w:ascii="Times New Roman" w:eastAsia="Times New Roman" w:hAnsi="Times New Roman"/>
          <w:sz w:val="24"/>
          <w:szCs w:val="20"/>
          <w:lang w:eastAsia="hr-HR"/>
        </w:rPr>
        <w:t>prosinca</w:t>
      </w:r>
      <w:r w:rsidR="00C92DDA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 20</w:t>
      </w:r>
      <w:r w:rsidR="008C216C" w:rsidRPr="00532AB9">
        <w:rPr>
          <w:rFonts w:ascii="Times New Roman" w:eastAsia="Times New Roman" w:hAnsi="Times New Roman"/>
          <w:sz w:val="24"/>
          <w:szCs w:val="20"/>
          <w:lang w:eastAsia="hr-HR"/>
        </w:rPr>
        <w:t>20</w:t>
      </w:r>
      <w:r w:rsidR="004A5E0D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. </w:t>
      </w:r>
      <w:r w:rsidR="00BC3D44" w:rsidRPr="00532AB9">
        <w:rPr>
          <w:rFonts w:ascii="Times New Roman" w:eastAsia="Times New Roman" w:hAnsi="Times New Roman"/>
          <w:sz w:val="24"/>
          <w:szCs w:val="20"/>
          <w:lang w:eastAsia="hr-HR"/>
        </w:rPr>
        <w:t>g</w:t>
      </w:r>
      <w:r w:rsidR="004A5E0D" w:rsidRPr="00532AB9">
        <w:rPr>
          <w:rFonts w:ascii="Times New Roman" w:eastAsia="Times New Roman" w:hAnsi="Times New Roman"/>
          <w:sz w:val="24"/>
          <w:szCs w:val="20"/>
          <w:lang w:eastAsia="hr-HR"/>
        </w:rPr>
        <w:t>odine</w:t>
      </w:r>
      <w:r w:rsidR="009A5276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 za Grad Šibenik</w:t>
      </w:r>
      <w:r w:rsidR="008F1E28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 kao i proračunske korisnike Grada, a sukladno Pravilniku o dopuni Pravilnika o polugodišnjem i godišnjem izvještaju o izvršenju proračuna </w:t>
      </w:r>
      <w:r w:rsidR="00FB174E" w:rsidRPr="00532AB9">
        <w:rPr>
          <w:rFonts w:ascii="Times New Roman" w:eastAsia="Times New Roman" w:hAnsi="Times New Roman"/>
          <w:sz w:val="24"/>
          <w:szCs w:val="20"/>
          <w:lang w:eastAsia="hr-HR"/>
        </w:rPr>
        <w:t>(„Narodne novine“, br</w:t>
      </w:r>
      <w:r w:rsidR="00544F2E" w:rsidRPr="00532AB9">
        <w:rPr>
          <w:rFonts w:ascii="Times New Roman" w:eastAsia="Times New Roman" w:hAnsi="Times New Roman"/>
          <w:sz w:val="24"/>
          <w:szCs w:val="20"/>
          <w:lang w:eastAsia="hr-HR"/>
        </w:rPr>
        <w:t>oj</w:t>
      </w:r>
      <w:r w:rsidR="00FB174E" w:rsidRPr="00532AB9">
        <w:rPr>
          <w:rFonts w:ascii="Times New Roman" w:eastAsia="Times New Roman" w:hAnsi="Times New Roman"/>
          <w:sz w:val="24"/>
          <w:szCs w:val="20"/>
          <w:lang w:eastAsia="hr-HR"/>
        </w:rPr>
        <w:t xml:space="preserve"> 147/2020)</w:t>
      </w:r>
      <w:r w:rsidR="00BC3D44" w:rsidRPr="00532AB9">
        <w:rPr>
          <w:rFonts w:ascii="Times New Roman" w:eastAsia="Times New Roman" w:hAnsi="Times New Roman"/>
          <w:sz w:val="24"/>
          <w:szCs w:val="20"/>
          <w:lang w:eastAsia="hr-HR"/>
        </w:rPr>
        <w:t>:</w:t>
      </w:r>
    </w:p>
    <w:p w:rsidR="002E3D53" w:rsidRDefault="002E3D53" w:rsidP="005A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8563C" w:rsidRDefault="00DE13DF" w:rsidP="00FB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E13D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</w:t>
      </w:r>
    </w:p>
    <w:p w:rsidR="00FB2AAB" w:rsidRDefault="00FB2AAB" w:rsidP="00FB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579"/>
        <w:tblW w:w="13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200"/>
        <w:gridCol w:w="2568"/>
        <w:gridCol w:w="2427"/>
        <w:gridCol w:w="2427"/>
      </w:tblGrid>
      <w:tr w:rsidR="0047774F" w:rsidRPr="00C26B17" w:rsidTr="0047774F">
        <w:trPr>
          <w:trHeight w:val="1090"/>
        </w:trPr>
        <w:tc>
          <w:tcPr>
            <w:tcW w:w="3544" w:type="dxa"/>
            <w:shd w:val="clear" w:color="auto" w:fill="8DB3E2"/>
            <w:noWrap/>
            <w:vAlign w:val="center"/>
            <w:hideMark/>
          </w:tcPr>
          <w:p w:rsidR="0047774F" w:rsidRPr="0048647A" w:rsidRDefault="0047774F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DAVATELJ KREDITA/ZAJMA</w:t>
            </w:r>
          </w:p>
        </w:tc>
        <w:tc>
          <w:tcPr>
            <w:tcW w:w="2200" w:type="dxa"/>
            <w:shd w:val="clear" w:color="auto" w:fill="8DB3E2"/>
            <w:vAlign w:val="center"/>
            <w:hideMark/>
          </w:tcPr>
          <w:p w:rsidR="0047774F" w:rsidRPr="0048647A" w:rsidRDefault="0047774F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ODOBRENI </w:t>
            </w:r>
            <w:r w:rsidRPr="0048647A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IZNOS KREDITA/ZAJMA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(kn)</w:t>
            </w:r>
          </w:p>
        </w:tc>
        <w:tc>
          <w:tcPr>
            <w:tcW w:w="2568" w:type="dxa"/>
            <w:shd w:val="clear" w:color="auto" w:fill="8DB3E2"/>
            <w:noWrap/>
            <w:vAlign w:val="center"/>
            <w:hideMark/>
          </w:tcPr>
          <w:p w:rsidR="0047774F" w:rsidRPr="0048647A" w:rsidRDefault="0047774F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KREDIT/ZAJAM REALIZIRAN</w:t>
            </w:r>
          </w:p>
        </w:tc>
        <w:tc>
          <w:tcPr>
            <w:tcW w:w="2427" w:type="dxa"/>
            <w:shd w:val="clear" w:color="auto" w:fill="8DB3E2"/>
            <w:vAlign w:val="center"/>
            <w:hideMark/>
          </w:tcPr>
          <w:p w:rsidR="0047774F" w:rsidRPr="0048647A" w:rsidRDefault="0047774F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STANJE GLAVNICE 01.01.20</w:t>
            </w:r>
            <w:r w:rsidR="00845532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</w:t>
            </w:r>
            <w:r w:rsidRPr="0048647A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(kn)</w:t>
            </w:r>
          </w:p>
        </w:tc>
        <w:tc>
          <w:tcPr>
            <w:tcW w:w="2427" w:type="dxa"/>
            <w:shd w:val="clear" w:color="auto" w:fill="8DB3E2"/>
            <w:vAlign w:val="center"/>
            <w:hideMark/>
          </w:tcPr>
          <w:p w:rsidR="0047774F" w:rsidRPr="00924AAB" w:rsidRDefault="0047774F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4A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ST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ANJE OBVEZE/ISKORIŠTENI IZNOS 3</w:t>
            </w:r>
            <w:r w:rsidR="00BF78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 w:rsidR="00BF78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.20</w:t>
            </w:r>
            <w:r w:rsidR="0084553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  <w:r w:rsidRPr="00924A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(kn)</w:t>
            </w:r>
          </w:p>
        </w:tc>
      </w:tr>
      <w:tr w:rsidR="0047774F" w:rsidRPr="00C26B17" w:rsidTr="0047774F">
        <w:trPr>
          <w:trHeight w:val="873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7774F" w:rsidRPr="0048647A" w:rsidRDefault="0047774F" w:rsidP="004777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MINISTARSTVO FINANCIJA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47774F" w:rsidRPr="0048647A" w:rsidRDefault="00420E53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 xml:space="preserve"> </w:t>
            </w:r>
            <w:r w:rsidR="0047774F" w:rsidRPr="0048647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9.842.853,24</w:t>
            </w:r>
          </w:p>
        </w:tc>
        <w:tc>
          <w:tcPr>
            <w:tcW w:w="2568" w:type="dxa"/>
            <w:shd w:val="clear" w:color="auto" w:fill="auto"/>
            <w:noWrap/>
            <w:vAlign w:val="center"/>
            <w:hideMark/>
          </w:tcPr>
          <w:p w:rsidR="0047774F" w:rsidRPr="0048647A" w:rsidRDefault="0047774F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 xml:space="preserve">2012. 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47774F" w:rsidRPr="00A377A6" w:rsidRDefault="00845532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8.513.691,61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47774F" w:rsidRPr="00A377A6" w:rsidRDefault="00376FEF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 xml:space="preserve"> </w:t>
            </w:r>
            <w:r w:rsidR="00C556B3"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8.022.637,58</w:t>
            </w:r>
          </w:p>
        </w:tc>
      </w:tr>
      <w:tr w:rsidR="0047774F" w:rsidRPr="00C26B17" w:rsidTr="0047774F">
        <w:trPr>
          <w:trHeight w:val="853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7774F" w:rsidRPr="0048647A" w:rsidRDefault="0047774F" w:rsidP="004777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ZAGREBAČKA BANKA D. D.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47774F" w:rsidRPr="0048647A" w:rsidRDefault="0047774F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20.000.000,00</w:t>
            </w:r>
          </w:p>
        </w:tc>
        <w:tc>
          <w:tcPr>
            <w:tcW w:w="2568" w:type="dxa"/>
            <w:shd w:val="clear" w:color="auto" w:fill="auto"/>
            <w:noWrap/>
            <w:vAlign w:val="center"/>
            <w:hideMark/>
          </w:tcPr>
          <w:p w:rsidR="0047774F" w:rsidRPr="0048647A" w:rsidRDefault="0047774F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 xml:space="preserve">2014. 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47774F" w:rsidRPr="00A377A6" w:rsidRDefault="004121F6" w:rsidP="0047774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 xml:space="preserve">  12.738.226,93</w:t>
            </w:r>
            <w:r w:rsidR="00026A8B"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 xml:space="preserve"> </w:t>
            </w:r>
            <w:r w:rsidR="00BE7EB5"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 xml:space="preserve"> 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47774F" w:rsidRPr="00A377A6" w:rsidRDefault="00777FA8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10.278.802,08</w:t>
            </w:r>
          </w:p>
        </w:tc>
      </w:tr>
      <w:tr w:rsidR="0047774F" w:rsidRPr="00C26B17" w:rsidTr="0047774F">
        <w:trPr>
          <w:trHeight w:val="837"/>
        </w:trPr>
        <w:tc>
          <w:tcPr>
            <w:tcW w:w="3544" w:type="dxa"/>
            <w:shd w:val="clear" w:color="auto" w:fill="auto"/>
            <w:noWrap/>
            <w:vAlign w:val="center"/>
          </w:tcPr>
          <w:p w:rsidR="0047774F" w:rsidRPr="0048647A" w:rsidRDefault="0047774F" w:rsidP="004777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MINISTARSTVO FINANCIJA 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47774F" w:rsidRPr="0048647A" w:rsidRDefault="0047774F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18.2</w:t>
            </w:r>
            <w:r w:rsidRPr="0048647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00.000,00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47774F" w:rsidRPr="0048647A" w:rsidRDefault="0047774F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016</w:t>
            </w:r>
            <w:r w:rsidRPr="0048647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.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47774F" w:rsidRPr="00A377A6" w:rsidRDefault="0047774F" w:rsidP="004777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 xml:space="preserve">     </w:t>
            </w:r>
            <w:r w:rsidR="00026A8B"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 xml:space="preserve"> </w:t>
            </w:r>
            <w:r w:rsidR="00BE7EB5"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 xml:space="preserve"> </w:t>
            </w:r>
            <w:r w:rsidR="00376FEF"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8.555.846,21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47774F" w:rsidRPr="00A377A6" w:rsidRDefault="00EB6A7E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14.498.065,28</w:t>
            </w:r>
            <w:r w:rsidR="00F52358"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 xml:space="preserve">  </w:t>
            </w:r>
          </w:p>
        </w:tc>
      </w:tr>
      <w:tr w:rsidR="003D5588" w:rsidRPr="004C3076" w:rsidTr="0047774F">
        <w:trPr>
          <w:trHeight w:val="837"/>
        </w:trPr>
        <w:tc>
          <w:tcPr>
            <w:tcW w:w="3544" w:type="dxa"/>
            <w:shd w:val="clear" w:color="auto" w:fill="auto"/>
            <w:noWrap/>
            <w:vAlign w:val="center"/>
          </w:tcPr>
          <w:p w:rsidR="003D5588" w:rsidRPr="0048647A" w:rsidRDefault="003D5588" w:rsidP="004777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MINISTARSTVO FINANCIJA</w:t>
            </w:r>
            <w:r w:rsidR="00917A8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*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3D5588" w:rsidRDefault="009A7384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11.440.833,40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3D5588" w:rsidRPr="0048647A" w:rsidRDefault="003D5588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 xml:space="preserve">2020. 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3D5588" w:rsidRPr="00A377A6" w:rsidRDefault="003D5588" w:rsidP="00A8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0,00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3D5588" w:rsidRPr="00A377A6" w:rsidRDefault="00A1125F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8.832.321,88</w:t>
            </w:r>
          </w:p>
        </w:tc>
      </w:tr>
      <w:tr w:rsidR="00D90D0E" w:rsidRPr="00C26B17" w:rsidTr="0047774F">
        <w:trPr>
          <w:trHeight w:val="837"/>
        </w:trPr>
        <w:tc>
          <w:tcPr>
            <w:tcW w:w="3544" w:type="dxa"/>
            <w:shd w:val="clear" w:color="auto" w:fill="auto"/>
            <w:noWrap/>
            <w:vAlign w:val="center"/>
          </w:tcPr>
          <w:p w:rsidR="00D90D0E" w:rsidRDefault="0070617E" w:rsidP="004777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HRVATSKA POŠTANSKA BANKA D.D.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D90D0E" w:rsidRDefault="0070617E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27.500.000,00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D90D0E" w:rsidRDefault="0070617E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202</w:t>
            </w:r>
            <w:r w:rsidR="009A7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.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D90D0E" w:rsidRPr="00A377A6" w:rsidRDefault="00A1125F" w:rsidP="00A11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0,00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D90D0E" w:rsidRPr="00A377A6" w:rsidRDefault="00A1125F" w:rsidP="00A11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A37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0,00</w:t>
            </w:r>
          </w:p>
        </w:tc>
      </w:tr>
      <w:tr w:rsidR="0047774F" w:rsidRPr="00C26B17" w:rsidTr="0047774F">
        <w:trPr>
          <w:trHeight w:val="662"/>
        </w:trPr>
        <w:tc>
          <w:tcPr>
            <w:tcW w:w="3544" w:type="dxa"/>
            <w:shd w:val="clear" w:color="auto" w:fill="8DB3E2"/>
            <w:noWrap/>
            <w:vAlign w:val="center"/>
          </w:tcPr>
          <w:p w:rsidR="0047774F" w:rsidRPr="0048647A" w:rsidRDefault="0047774F" w:rsidP="0047774F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r-HR"/>
              </w:rPr>
              <w:t>UKUPNO</w:t>
            </w:r>
          </w:p>
        </w:tc>
        <w:tc>
          <w:tcPr>
            <w:tcW w:w="2200" w:type="dxa"/>
            <w:shd w:val="clear" w:color="auto" w:fill="8DB3E2"/>
            <w:noWrap/>
            <w:vAlign w:val="center"/>
          </w:tcPr>
          <w:p w:rsidR="0047774F" w:rsidRPr="0048647A" w:rsidRDefault="0047774F" w:rsidP="0047774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9A73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86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.</w:t>
            </w:r>
            <w:r w:rsidR="009A73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983.686,64</w:t>
            </w:r>
          </w:p>
        </w:tc>
        <w:tc>
          <w:tcPr>
            <w:tcW w:w="2568" w:type="dxa"/>
            <w:shd w:val="clear" w:color="auto" w:fill="8DB3E2"/>
            <w:noWrap/>
            <w:vAlign w:val="center"/>
          </w:tcPr>
          <w:p w:rsidR="0047774F" w:rsidRPr="0048647A" w:rsidRDefault="0047774F" w:rsidP="00477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2012-20</w:t>
            </w:r>
            <w:r w:rsidR="00B1718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2</w:t>
            </w:r>
            <w:r w:rsidR="009A73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0</w:t>
            </w:r>
            <w:r w:rsidRPr="004864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2427" w:type="dxa"/>
            <w:shd w:val="clear" w:color="auto" w:fill="8DB3E2"/>
            <w:noWrap/>
            <w:vAlign w:val="center"/>
          </w:tcPr>
          <w:p w:rsidR="0047774F" w:rsidRPr="00A377A6" w:rsidRDefault="0047774F" w:rsidP="0047774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</w:pPr>
            <w:r w:rsidRPr="00A377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 xml:space="preserve">  </w:t>
            </w:r>
            <w:r w:rsidR="00B70158" w:rsidRPr="00A377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2</w:t>
            </w:r>
            <w:r w:rsidR="00376FEF" w:rsidRPr="00A377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9</w:t>
            </w:r>
            <w:r w:rsidR="00B70158" w:rsidRPr="00A377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.</w:t>
            </w:r>
            <w:r w:rsidR="00376FEF" w:rsidRPr="00A377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8</w:t>
            </w:r>
            <w:r w:rsidR="00B70158" w:rsidRPr="00A377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07.</w:t>
            </w:r>
            <w:r w:rsidR="00376FEF" w:rsidRPr="00A377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764</w:t>
            </w:r>
            <w:r w:rsidR="00B70158" w:rsidRPr="00A377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,</w:t>
            </w:r>
            <w:r w:rsidR="00376FEF" w:rsidRPr="00A377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75</w:t>
            </w:r>
          </w:p>
        </w:tc>
        <w:tc>
          <w:tcPr>
            <w:tcW w:w="2427" w:type="dxa"/>
            <w:shd w:val="clear" w:color="auto" w:fill="8DB3E2"/>
            <w:noWrap/>
            <w:vAlign w:val="center"/>
          </w:tcPr>
          <w:p w:rsidR="0047774F" w:rsidRPr="00A377A6" w:rsidRDefault="0047774F" w:rsidP="0047774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</w:pPr>
            <w:r w:rsidRPr="00A377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 xml:space="preserve">    </w:t>
            </w:r>
            <w:r w:rsidR="004C3076" w:rsidRPr="00A377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41.631.826,82</w:t>
            </w:r>
          </w:p>
        </w:tc>
      </w:tr>
    </w:tbl>
    <w:p w:rsidR="00E3655D" w:rsidRDefault="00BE5B4E" w:rsidP="00BE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917A85" w:rsidRPr="009D3C4B" w:rsidRDefault="00917A85" w:rsidP="0091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7A85">
        <w:rPr>
          <w:rFonts w:ascii="Times New Roman" w:hAnsi="Times New Roman"/>
          <w:b/>
          <w:bCs/>
          <w:sz w:val="24"/>
          <w:szCs w:val="24"/>
        </w:rPr>
        <w:t xml:space="preserve">*kratkoročni beskamatni zajam – NE ulazi u limit za zaduživanje </w:t>
      </w:r>
      <w:r w:rsidR="00F005C5">
        <w:rPr>
          <w:rFonts w:ascii="Times New Roman" w:hAnsi="Times New Roman"/>
          <w:b/>
          <w:bCs/>
          <w:sz w:val="24"/>
          <w:szCs w:val="24"/>
        </w:rPr>
        <w:t>do</w:t>
      </w:r>
      <w:r w:rsidRPr="00917A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3C4B" w:rsidRPr="009D3C4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20% ostvarenih prihoda u godini koja prethodi godini u kojoj se zadužuje</w:t>
      </w:r>
      <w:r w:rsidR="009D3C4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9D3C4B">
        <w:rPr>
          <w:rFonts w:ascii="Times New Roman" w:hAnsi="Times New Roman"/>
          <w:b/>
          <w:bCs/>
          <w:sz w:val="24"/>
          <w:szCs w:val="24"/>
        </w:rPr>
        <w:t>prema važećem Zakonu o proračunu</w:t>
      </w:r>
      <w:r w:rsidR="00D9018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7A85" w:rsidRDefault="00917A85" w:rsidP="000A4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63C" w:rsidRPr="000A41AD" w:rsidRDefault="00D8563C" w:rsidP="000A4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A85" w:rsidRDefault="00917A85" w:rsidP="00BE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6EC" w:rsidRDefault="00767D1A" w:rsidP="00183EB2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 Šibenik je </w:t>
      </w:r>
      <w:r w:rsidR="00DE2D5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M</w:t>
      </w:r>
      <w:r w:rsidR="0028635B">
        <w:rPr>
          <w:rFonts w:ascii="Times New Roman" w:hAnsi="Times New Roman"/>
          <w:sz w:val="24"/>
          <w:szCs w:val="24"/>
        </w:rPr>
        <w:t>inistarstvom financija zaključi</w:t>
      </w:r>
      <w:r>
        <w:rPr>
          <w:rFonts w:ascii="Times New Roman" w:hAnsi="Times New Roman"/>
          <w:sz w:val="24"/>
          <w:szCs w:val="24"/>
        </w:rPr>
        <w:t xml:space="preserve">o 17. siječnja 2012. godine Ugovor o zajmu za </w:t>
      </w:r>
      <w:r w:rsidR="00DE76EC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>financiranje projek</w:t>
      </w:r>
      <w:r w:rsidR="00DE76E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ta </w:t>
      </w:r>
      <w:r w:rsidR="00DE76EC">
        <w:rPr>
          <w:rFonts w:ascii="Times New Roman" w:hAnsi="Times New Roman"/>
          <w:sz w:val="24"/>
          <w:szCs w:val="24"/>
        </w:rPr>
        <w:t>EU IPA ISPA 2007-2011 za Izgradnju</w:t>
      </w:r>
      <w:r>
        <w:rPr>
          <w:rFonts w:ascii="Times New Roman" w:hAnsi="Times New Roman"/>
          <w:sz w:val="24"/>
          <w:szCs w:val="24"/>
        </w:rPr>
        <w:t xml:space="preserve"> Regionalnog centra za gospodarenje otpadom Bikarac I - program ISPA (Klasa: 402-01/12-01/19, Urbroj: 2181/01-06-11-1)</w:t>
      </w:r>
      <w:r w:rsidR="00DE76EC">
        <w:rPr>
          <w:rFonts w:ascii="Times New Roman" w:hAnsi="Times New Roman"/>
          <w:sz w:val="24"/>
          <w:szCs w:val="24"/>
        </w:rPr>
        <w:t>.</w:t>
      </w:r>
    </w:p>
    <w:p w:rsidR="00DE76EC" w:rsidRDefault="00DE2D5F" w:rsidP="00DE2D5F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Maksimalno odobreni</w:t>
      </w:r>
      <w:r w:rsidR="00DE76EC">
        <w:rPr>
          <w:rFonts w:ascii="Times New Roman" w:hAnsi="Times New Roman"/>
          <w:sz w:val="24"/>
          <w:szCs w:val="24"/>
        </w:rPr>
        <w:t xml:space="preserve"> iznos zajma je bio 1.571.552,00 EUR-a, a </w:t>
      </w:r>
      <w:r w:rsidR="00767D1A">
        <w:rPr>
          <w:rFonts w:ascii="Times New Roman" w:hAnsi="Times New Roman"/>
          <w:sz w:val="24"/>
          <w:szCs w:val="24"/>
        </w:rPr>
        <w:t xml:space="preserve"> </w:t>
      </w:r>
      <w:r w:rsidR="00DE76EC">
        <w:rPr>
          <w:rFonts w:ascii="Times New Roman" w:hAnsi="Times New Roman"/>
          <w:sz w:val="24"/>
          <w:szCs w:val="24"/>
        </w:rPr>
        <w:t>Grad Šibenik je uk</w:t>
      </w:r>
      <w:r w:rsidR="009B0016">
        <w:rPr>
          <w:rFonts w:ascii="Times New Roman" w:hAnsi="Times New Roman"/>
          <w:sz w:val="24"/>
          <w:szCs w:val="24"/>
        </w:rPr>
        <w:t>upno iskoristio 1.301.005,48 EUR</w:t>
      </w:r>
      <w:r w:rsidR="00DE76EC">
        <w:rPr>
          <w:rFonts w:ascii="Times New Roman" w:hAnsi="Times New Roman"/>
          <w:sz w:val="24"/>
          <w:szCs w:val="24"/>
        </w:rPr>
        <w:t>-a zajma</w:t>
      </w:r>
      <w:r>
        <w:rPr>
          <w:rFonts w:ascii="Times New Roman" w:hAnsi="Times New Roman"/>
          <w:sz w:val="24"/>
          <w:szCs w:val="24"/>
        </w:rPr>
        <w:t>,</w:t>
      </w:r>
      <w:r w:rsidR="00DE76EC">
        <w:rPr>
          <w:rFonts w:ascii="Times New Roman" w:hAnsi="Times New Roman"/>
          <w:sz w:val="24"/>
          <w:szCs w:val="24"/>
        </w:rPr>
        <w:t xml:space="preserve"> odnosno </w:t>
      </w:r>
      <w:r w:rsidR="00767D1A">
        <w:rPr>
          <w:rFonts w:ascii="Times New Roman" w:hAnsi="Times New Roman"/>
          <w:sz w:val="24"/>
          <w:szCs w:val="24"/>
        </w:rPr>
        <w:t>9.842.853,24 kn</w:t>
      </w:r>
      <w:r w:rsidR="00DE76EC">
        <w:rPr>
          <w:rFonts w:ascii="Times New Roman" w:hAnsi="Times New Roman"/>
          <w:sz w:val="24"/>
          <w:szCs w:val="24"/>
        </w:rPr>
        <w:t>.</w:t>
      </w:r>
    </w:p>
    <w:p w:rsidR="00DE76EC" w:rsidRDefault="00DE76EC" w:rsidP="00DE2D5F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zajma će se otplaćivati Ministarstvu financija sukcesivno u roku 25 godina uključujući i poček od 5 godina u 80 (osamdeset) jednakih tromjesečnih rata.</w:t>
      </w:r>
    </w:p>
    <w:p w:rsidR="00D2502E" w:rsidRDefault="00403A2C" w:rsidP="00DE2D5F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Kamata je fiksna </w:t>
      </w:r>
      <w:r w:rsidR="00767D1A">
        <w:rPr>
          <w:rFonts w:ascii="Times New Roman" w:hAnsi="Times New Roman"/>
          <w:sz w:val="24"/>
          <w:szCs w:val="24"/>
        </w:rPr>
        <w:t>za cijelo vrijeme trajanja zajma</w:t>
      </w:r>
      <w:r>
        <w:rPr>
          <w:rFonts w:ascii="Times New Roman" w:hAnsi="Times New Roman"/>
          <w:sz w:val="24"/>
          <w:szCs w:val="24"/>
        </w:rPr>
        <w:t xml:space="preserve"> i iznosi 3,987%, a obračunava se i naplaćuje tromjesečno, uz primjenu proporcionalne metode. </w:t>
      </w:r>
      <w:r w:rsidR="00767D1A">
        <w:rPr>
          <w:rFonts w:ascii="Times New Roman" w:hAnsi="Times New Roman"/>
          <w:sz w:val="24"/>
          <w:szCs w:val="24"/>
        </w:rPr>
        <w:t xml:space="preserve"> </w:t>
      </w:r>
    </w:p>
    <w:p w:rsidR="00D2502E" w:rsidRDefault="00403A2C" w:rsidP="00DE2D5F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Kamata se obračuna</w:t>
      </w:r>
      <w:r w:rsidR="008D3AB7">
        <w:rPr>
          <w:rFonts w:ascii="Times New Roman" w:hAnsi="Times New Roman"/>
          <w:sz w:val="24"/>
          <w:szCs w:val="24"/>
        </w:rPr>
        <w:t>va</w:t>
      </w:r>
      <w:r w:rsidR="00BE5B4E" w:rsidRPr="00D2502E">
        <w:rPr>
          <w:rFonts w:ascii="Times New Roman" w:hAnsi="Times New Roman"/>
          <w:sz w:val="24"/>
          <w:szCs w:val="24"/>
        </w:rPr>
        <w:t xml:space="preserve"> od prvog korištenja zajma, a naplaćuje se nakon isteka počeka, u 80 jednakih tromjesečnih rata. </w:t>
      </w:r>
    </w:p>
    <w:p w:rsidR="00403A2C" w:rsidRDefault="00403A2C" w:rsidP="00DE2D5F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Naknade za obradu zahtjeva i administriranje zajma</w:t>
      </w:r>
      <w:r w:rsidR="00DE2D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kao i </w:t>
      </w:r>
      <w:bookmarkStart w:id="0" w:name="_Hlk67402367"/>
      <w:r>
        <w:rPr>
          <w:rFonts w:ascii="Times New Roman" w:hAnsi="Times New Roman"/>
          <w:sz w:val="24"/>
          <w:szCs w:val="24"/>
        </w:rPr>
        <w:t>naknade za prijevremenu otplatu zajma se ne obračunavaju.</w:t>
      </w:r>
      <w:bookmarkEnd w:id="0"/>
    </w:p>
    <w:p w:rsidR="00E3655D" w:rsidRDefault="00403A2C" w:rsidP="00DE2D5F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Dospijeće 1. anuiteta </w:t>
      </w:r>
      <w:r w:rsidRPr="00D2502E">
        <w:rPr>
          <w:rFonts w:ascii="Times New Roman" w:hAnsi="Times New Roman"/>
          <w:sz w:val="24"/>
          <w:szCs w:val="24"/>
        </w:rPr>
        <w:t xml:space="preserve">(26.024,42 EUR-a) </w:t>
      </w:r>
      <w:r>
        <w:rPr>
          <w:rFonts w:ascii="Times New Roman" w:hAnsi="Times New Roman"/>
          <w:sz w:val="24"/>
          <w:szCs w:val="24"/>
        </w:rPr>
        <w:t xml:space="preserve">je 5 godina od prvog korištenja zajma koji je </w:t>
      </w:r>
      <w:r w:rsidR="0028635B">
        <w:rPr>
          <w:rFonts w:ascii="Times New Roman" w:hAnsi="Times New Roman"/>
          <w:sz w:val="24"/>
          <w:szCs w:val="24"/>
        </w:rPr>
        <w:t>dospio</w:t>
      </w:r>
      <w:r w:rsidR="00A2183F">
        <w:rPr>
          <w:rFonts w:ascii="Times New Roman" w:hAnsi="Times New Roman"/>
          <w:sz w:val="24"/>
          <w:szCs w:val="24"/>
        </w:rPr>
        <w:t xml:space="preserve"> </w:t>
      </w:r>
      <w:r w:rsidR="00767D1A" w:rsidRPr="00D2502E">
        <w:rPr>
          <w:rFonts w:ascii="Times New Roman" w:hAnsi="Times New Roman"/>
          <w:sz w:val="24"/>
          <w:szCs w:val="24"/>
        </w:rPr>
        <w:t>31. ožujka 2017.</w:t>
      </w:r>
      <w:r w:rsidR="004F31CC">
        <w:rPr>
          <w:rFonts w:ascii="Times New Roman" w:hAnsi="Times New Roman"/>
          <w:sz w:val="24"/>
          <w:szCs w:val="24"/>
        </w:rPr>
        <w:t>, a posljednji dospijeva 31. prosinca 2036. godine</w:t>
      </w:r>
      <w:r w:rsidR="00767D1A" w:rsidRPr="00D2502E">
        <w:rPr>
          <w:rFonts w:ascii="Times New Roman" w:hAnsi="Times New Roman"/>
          <w:sz w:val="24"/>
          <w:szCs w:val="24"/>
        </w:rPr>
        <w:t xml:space="preserve"> u skladu s</w:t>
      </w:r>
      <w:r w:rsidR="00FB0805" w:rsidRPr="00D2502E">
        <w:rPr>
          <w:rFonts w:ascii="Times New Roman" w:hAnsi="Times New Roman"/>
          <w:sz w:val="24"/>
          <w:szCs w:val="24"/>
        </w:rPr>
        <w:t xml:space="preserve"> odredbama Ugovora i dostavljenom otplatnom planu </w:t>
      </w:r>
      <w:r w:rsidR="00D2502E">
        <w:rPr>
          <w:rFonts w:ascii="Times New Roman" w:hAnsi="Times New Roman"/>
          <w:sz w:val="24"/>
          <w:szCs w:val="24"/>
        </w:rPr>
        <w:t>Ministarstva</w:t>
      </w:r>
      <w:r w:rsidR="00FB0805" w:rsidRPr="00D2502E">
        <w:rPr>
          <w:rFonts w:ascii="Times New Roman" w:hAnsi="Times New Roman"/>
          <w:sz w:val="24"/>
          <w:szCs w:val="24"/>
        </w:rPr>
        <w:t xml:space="preserve"> financija od 24. travnja 2017. (Klasa:</w:t>
      </w:r>
      <w:r w:rsidR="00DE2D5F">
        <w:rPr>
          <w:rFonts w:ascii="Times New Roman" w:hAnsi="Times New Roman"/>
          <w:sz w:val="24"/>
          <w:szCs w:val="24"/>
        </w:rPr>
        <w:t xml:space="preserve"> </w:t>
      </w:r>
      <w:r w:rsidR="00FB0805" w:rsidRPr="00D2502E">
        <w:rPr>
          <w:rFonts w:ascii="Times New Roman" w:hAnsi="Times New Roman"/>
          <w:sz w:val="24"/>
          <w:szCs w:val="24"/>
        </w:rPr>
        <w:t>910-01/11-01/445, Urbroj: 513-05-05-17-148).</w:t>
      </w:r>
    </w:p>
    <w:p w:rsidR="00403A2C" w:rsidRPr="00D2502E" w:rsidRDefault="00403A2C" w:rsidP="00DE2D5F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Plaćanje je u kunskoj protuvrijednosti iznosa iskazanog u EUR i obračunato po srednjem tečaju Hrvatske narodne banke na dan plaćanja.</w:t>
      </w:r>
    </w:p>
    <w:p w:rsidR="00FB0805" w:rsidRDefault="00FB0805" w:rsidP="00DE2D5F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otplatnom planu, </w:t>
      </w:r>
      <w:r w:rsidR="00D2502E">
        <w:rPr>
          <w:rFonts w:ascii="Times New Roman" w:hAnsi="Times New Roman"/>
          <w:sz w:val="24"/>
          <w:szCs w:val="24"/>
        </w:rPr>
        <w:t>iznos rate za uplatu iskazan je u eurima u stupcu „OTPLATNI PLAN – jednaki anuiteti“ te je otplate potrebno izvršiti u kunskoj protuvrijednosti iznosa, obračunato po srednjem tečaju Hrvatske narodne bank</w:t>
      </w:r>
      <w:r w:rsidR="0028635B">
        <w:rPr>
          <w:rFonts w:ascii="Times New Roman" w:hAnsi="Times New Roman"/>
          <w:sz w:val="24"/>
          <w:szCs w:val="24"/>
        </w:rPr>
        <w:t>e na dan plaćanja, na račun Drža</w:t>
      </w:r>
      <w:r w:rsidR="00D2502E">
        <w:rPr>
          <w:rFonts w:ascii="Times New Roman" w:hAnsi="Times New Roman"/>
          <w:sz w:val="24"/>
          <w:szCs w:val="24"/>
        </w:rPr>
        <w:t>vnog proračuna Republike Hrvatske.</w:t>
      </w:r>
    </w:p>
    <w:p w:rsidR="00253F4B" w:rsidRDefault="00253F4B" w:rsidP="00BF6629">
      <w:pPr>
        <w:rPr>
          <w:rFonts w:ascii="Times New Roman" w:hAnsi="Times New Roman"/>
          <w:sz w:val="24"/>
          <w:szCs w:val="24"/>
        </w:rPr>
      </w:pPr>
    </w:p>
    <w:p w:rsidR="0070738C" w:rsidRDefault="0070738C" w:rsidP="00BF6629">
      <w:pPr>
        <w:rPr>
          <w:rFonts w:ascii="Times New Roman" w:hAnsi="Times New Roman"/>
          <w:sz w:val="24"/>
          <w:szCs w:val="24"/>
        </w:rPr>
      </w:pPr>
    </w:p>
    <w:p w:rsidR="00253F4B" w:rsidRDefault="00253F4B" w:rsidP="00BF6629">
      <w:pPr>
        <w:rPr>
          <w:rFonts w:ascii="Times New Roman" w:hAnsi="Times New Roman"/>
          <w:sz w:val="24"/>
          <w:szCs w:val="24"/>
        </w:rPr>
      </w:pPr>
    </w:p>
    <w:p w:rsidR="00D8563C" w:rsidRDefault="00D8563C" w:rsidP="00BF6629">
      <w:pPr>
        <w:rPr>
          <w:rFonts w:ascii="Times New Roman" w:hAnsi="Times New Roman"/>
          <w:sz w:val="24"/>
          <w:szCs w:val="24"/>
        </w:rPr>
      </w:pPr>
    </w:p>
    <w:p w:rsidR="00D8563C" w:rsidRDefault="00D8563C" w:rsidP="00BF6629">
      <w:pPr>
        <w:rPr>
          <w:rFonts w:ascii="Times New Roman" w:hAnsi="Times New Roman"/>
          <w:sz w:val="24"/>
          <w:szCs w:val="24"/>
        </w:rPr>
      </w:pPr>
    </w:p>
    <w:p w:rsidR="00D2502E" w:rsidRDefault="00D2502E" w:rsidP="00FB0805">
      <w:pPr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Iznosi otplata po dugoročn</w:t>
      </w:r>
      <w:r w:rsidR="00EF4592">
        <w:rPr>
          <w:rFonts w:ascii="Times New Roman" w:hAnsi="Times New Roman"/>
          <w:sz w:val="24"/>
          <w:szCs w:val="24"/>
        </w:rPr>
        <w:t xml:space="preserve">om zajmu Ministarstva financija </w:t>
      </w:r>
      <w:r>
        <w:rPr>
          <w:rFonts w:ascii="Times New Roman" w:hAnsi="Times New Roman"/>
          <w:sz w:val="24"/>
          <w:szCs w:val="24"/>
        </w:rPr>
        <w:t>raspoređeni prema dospijeću u narednim godinama:</w:t>
      </w:r>
    </w:p>
    <w:tbl>
      <w:tblPr>
        <w:tblW w:w="4835" w:type="dxa"/>
        <w:tblInd w:w="1242" w:type="dxa"/>
        <w:tblLook w:val="04A0"/>
      </w:tblPr>
      <w:tblGrid>
        <w:gridCol w:w="2690"/>
        <w:gridCol w:w="2145"/>
      </w:tblGrid>
      <w:tr w:rsidR="00696743" w:rsidRPr="009879C0" w:rsidTr="00DE2D5F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96743" w:rsidRPr="009879C0" w:rsidRDefault="00696743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MINISTARSTVO FINANCIJA</w:t>
            </w:r>
          </w:p>
        </w:tc>
      </w:tr>
      <w:tr w:rsidR="00696743" w:rsidRPr="009879C0" w:rsidTr="00DE2D5F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96743" w:rsidRPr="009879C0" w:rsidRDefault="00BF6629" w:rsidP="00BF6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ISKORIŠTENI</w:t>
            </w:r>
            <w:r w:rsidR="00696743"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IZNOS </w:t>
            </w:r>
            <w:r w:rsidR="006967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ZAJMA</w:t>
            </w:r>
            <w:r w:rsidR="00696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1.301.005,48</w:t>
            </w:r>
            <w:r w:rsidR="00696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696743" w:rsidRPr="009879C0" w:rsidTr="00DE2D5F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43" w:rsidRPr="00A16EB0" w:rsidRDefault="00974873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A16E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Bikarac I. faza</w:t>
            </w:r>
            <w:r w:rsidR="00696743" w:rsidRPr="00A16E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96743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43" w:rsidRPr="009879C0" w:rsidRDefault="00696743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DOSPIJEĆE/godina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43" w:rsidRPr="009879C0" w:rsidRDefault="00950F15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ANUITET/Eur</w:t>
            </w:r>
          </w:p>
        </w:tc>
      </w:tr>
      <w:tr w:rsidR="003E6AAA" w:rsidRPr="009879C0" w:rsidTr="00B8154A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2021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2022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2023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2028.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2029.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2030.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2031.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2032.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2033.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2034.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2035.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  <w:tr w:rsidR="003E6AAA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2036.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AA" w:rsidRPr="009879C0" w:rsidRDefault="003E6AAA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104.097,68</w:t>
            </w:r>
          </w:p>
        </w:tc>
      </w:tr>
    </w:tbl>
    <w:p w:rsidR="00DE7ADD" w:rsidRDefault="00DE7ADD" w:rsidP="00B06890">
      <w:pPr>
        <w:ind w:left="1068"/>
        <w:rPr>
          <w:rFonts w:ascii="Times New Roman" w:hAnsi="Times New Roman"/>
          <w:sz w:val="24"/>
          <w:szCs w:val="24"/>
        </w:rPr>
      </w:pPr>
    </w:p>
    <w:p w:rsidR="001F2BBC" w:rsidRDefault="001F2BBC" w:rsidP="00B06890">
      <w:pPr>
        <w:ind w:left="1068"/>
        <w:rPr>
          <w:rFonts w:ascii="Times New Roman" w:hAnsi="Times New Roman"/>
          <w:sz w:val="24"/>
          <w:szCs w:val="24"/>
        </w:rPr>
      </w:pPr>
    </w:p>
    <w:p w:rsidR="00A477A7" w:rsidRDefault="00A477A7" w:rsidP="00B06890">
      <w:pPr>
        <w:ind w:left="1068"/>
        <w:rPr>
          <w:rFonts w:ascii="Times New Roman" w:hAnsi="Times New Roman"/>
          <w:sz w:val="24"/>
          <w:szCs w:val="24"/>
        </w:rPr>
      </w:pPr>
    </w:p>
    <w:p w:rsidR="00654515" w:rsidRDefault="00654515" w:rsidP="00B06890">
      <w:pPr>
        <w:ind w:left="1068"/>
        <w:rPr>
          <w:rFonts w:ascii="Times New Roman" w:hAnsi="Times New Roman"/>
          <w:sz w:val="24"/>
          <w:szCs w:val="24"/>
        </w:rPr>
      </w:pPr>
    </w:p>
    <w:p w:rsidR="00BC3D44" w:rsidRDefault="004D3988" w:rsidP="00DE2D5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Grad Šibenik je sa Z</w:t>
      </w:r>
      <w:r w:rsidR="00956E60">
        <w:rPr>
          <w:rFonts w:ascii="Times New Roman" w:hAnsi="Times New Roman"/>
          <w:sz w:val="24"/>
          <w:szCs w:val="24"/>
        </w:rPr>
        <w:t>agrebačkom bankom d.d. zaključi</w:t>
      </w:r>
      <w:r>
        <w:rPr>
          <w:rFonts w:ascii="Times New Roman" w:hAnsi="Times New Roman"/>
          <w:sz w:val="24"/>
          <w:szCs w:val="24"/>
        </w:rPr>
        <w:t xml:space="preserve">o 05. prosinca 2014. </w:t>
      </w:r>
      <w:r w:rsidR="00AA4915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odine Ugovor o dugoročnom kreditu s valutnom klauzulom za rješavanje hipoteke INA-e d.d. na</w:t>
      </w:r>
      <w:r w:rsidR="00AA4915">
        <w:rPr>
          <w:rFonts w:ascii="Times New Roman" w:hAnsi="Times New Roman"/>
          <w:sz w:val="24"/>
          <w:szCs w:val="24"/>
        </w:rPr>
        <w:t>d zemljištem bivšeg TEF-a</w:t>
      </w:r>
      <w:r>
        <w:rPr>
          <w:rFonts w:ascii="Times New Roman" w:hAnsi="Times New Roman"/>
          <w:sz w:val="24"/>
          <w:szCs w:val="24"/>
        </w:rPr>
        <w:t xml:space="preserve"> te financiranje ostalih kapitalnih investicija, temeljem javne objave broj 2014/S 002-0036390, objavljenog u elektroničkom oglasniku Javne nabave Narodnih novina 25. </w:t>
      </w:r>
      <w:r w:rsidR="00AA491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rpnja 2014</w:t>
      </w:r>
      <w:r w:rsidR="00AA4915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 xml:space="preserve"> te temeljem Dokumentacije za nadmetanje.</w:t>
      </w:r>
      <w:r w:rsidR="00AA4915">
        <w:rPr>
          <w:rFonts w:ascii="Times New Roman" w:hAnsi="Times New Roman"/>
          <w:sz w:val="24"/>
          <w:szCs w:val="24"/>
        </w:rPr>
        <w:t xml:space="preserve"> </w:t>
      </w:r>
    </w:p>
    <w:p w:rsidR="00C97202" w:rsidRDefault="00AA4915" w:rsidP="00DE2D5F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Ugovor je zaključen u iznosu 20.000.000,00 kn </w:t>
      </w:r>
      <w:r w:rsidR="00B26100">
        <w:rPr>
          <w:rFonts w:ascii="Times New Roman" w:hAnsi="Times New Roman"/>
          <w:sz w:val="24"/>
          <w:szCs w:val="24"/>
        </w:rPr>
        <w:t>preračunato u EUR po srednjem tečaju Hrvatske narodne banke na dan korištenja kredita</w:t>
      </w:r>
      <w:r w:rsidR="00C97202">
        <w:rPr>
          <w:rFonts w:ascii="Times New Roman" w:hAnsi="Times New Roman"/>
          <w:sz w:val="24"/>
          <w:szCs w:val="24"/>
        </w:rPr>
        <w:t xml:space="preserve"> na rok 10 godina (u koje je uključeno razdoblje počeka od 2 godine).</w:t>
      </w:r>
    </w:p>
    <w:p w:rsidR="00C97202" w:rsidRDefault="00B26100" w:rsidP="00DE2D5F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7202">
        <w:rPr>
          <w:rFonts w:ascii="Times New Roman" w:hAnsi="Times New Roman"/>
          <w:sz w:val="24"/>
          <w:szCs w:val="24"/>
        </w:rPr>
        <w:t>Kamatna  stopa:</w:t>
      </w:r>
    </w:p>
    <w:p w:rsidR="00C97202" w:rsidRDefault="00CC06DD" w:rsidP="00DE2D5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87867">
        <w:rPr>
          <w:rFonts w:ascii="Times New Roman" w:hAnsi="Times New Roman"/>
          <w:sz w:val="24"/>
          <w:szCs w:val="24"/>
        </w:rPr>
        <w:t xml:space="preserve">edovna: </w:t>
      </w:r>
      <w:r w:rsidR="00C97202">
        <w:rPr>
          <w:rFonts w:ascii="Times New Roman" w:hAnsi="Times New Roman"/>
          <w:sz w:val="24"/>
          <w:szCs w:val="24"/>
        </w:rPr>
        <w:t xml:space="preserve"> fiksna</w:t>
      </w:r>
      <w:r w:rsidR="00DE2D5F">
        <w:rPr>
          <w:rFonts w:ascii="Times New Roman" w:hAnsi="Times New Roman"/>
          <w:sz w:val="24"/>
          <w:szCs w:val="24"/>
        </w:rPr>
        <w:t xml:space="preserve"> u iznosu 3,60%</w:t>
      </w:r>
      <w:r w:rsidR="00C97202">
        <w:rPr>
          <w:rFonts w:ascii="Times New Roman" w:hAnsi="Times New Roman"/>
          <w:sz w:val="24"/>
          <w:szCs w:val="24"/>
        </w:rPr>
        <w:t xml:space="preserve"> godišnje</w:t>
      </w:r>
      <w:r w:rsidR="00DE2D5F">
        <w:rPr>
          <w:rFonts w:ascii="Times New Roman" w:hAnsi="Times New Roman"/>
          <w:sz w:val="24"/>
          <w:szCs w:val="24"/>
        </w:rPr>
        <w:t>.</w:t>
      </w:r>
    </w:p>
    <w:p w:rsidR="00C97202" w:rsidRDefault="00C97202" w:rsidP="00DE2D5F">
      <w:pPr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Kamata se obračunava i naplaćuje kvartalno, primjenom proporcionalne metode obračuna kamata, na bazi stvarnih dana korištenja sredstava, a naplaćuje se prvog dana kvartala</w:t>
      </w:r>
      <w:r w:rsidR="00DE2D5F">
        <w:rPr>
          <w:rFonts w:ascii="Times New Roman" w:hAnsi="Times New Roman"/>
          <w:sz w:val="24"/>
          <w:szCs w:val="24"/>
        </w:rPr>
        <w:t>.</w:t>
      </w:r>
    </w:p>
    <w:p w:rsidR="00C97202" w:rsidRDefault="00CC06DD" w:rsidP="00DE2D5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C97202">
        <w:rPr>
          <w:rFonts w:ascii="Times New Roman" w:hAnsi="Times New Roman"/>
          <w:sz w:val="24"/>
          <w:szCs w:val="24"/>
        </w:rPr>
        <w:t>amata po dospijeću: Na sve dospjele neplaćene tražbine po kreditu, osim na dospjelu nenaplaćenu kamatu, primjenjuje se kamatna stopa po dospijeću koja se utvrđuje u visini stope važeće zakonske zatezne kamate, te će Banka obračunati i naplatiti tako utvrđenu kamatu po dospijeću</w:t>
      </w:r>
      <w:r w:rsidR="004812E3">
        <w:rPr>
          <w:rFonts w:ascii="Times New Roman" w:hAnsi="Times New Roman"/>
          <w:sz w:val="24"/>
          <w:szCs w:val="24"/>
        </w:rPr>
        <w:t>. Ako je redovna kamatna stopa veća od kamatne stope po dospijeću, primj</w:t>
      </w:r>
      <w:r w:rsidR="00DE2D5F">
        <w:rPr>
          <w:rFonts w:ascii="Times New Roman" w:hAnsi="Times New Roman"/>
          <w:sz w:val="24"/>
          <w:szCs w:val="24"/>
        </w:rPr>
        <w:t>enjuje se redovna kamatna stopa.</w:t>
      </w:r>
    </w:p>
    <w:p w:rsidR="004812E3" w:rsidRDefault="00CC06DD" w:rsidP="00DE2D5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812E3">
        <w:rPr>
          <w:rFonts w:ascii="Times New Roman" w:hAnsi="Times New Roman"/>
          <w:sz w:val="24"/>
          <w:szCs w:val="24"/>
        </w:rPr>
        <w:t>nterkalarna: jednaka redovnoj i obračunavala se i naplaćivala kvartalno na iskorišteni iznos kredita</w:t>
      </w:r>
      <w:r w:rsidR="00DE2D5F">
        <w:rPr>
          <w:rFonts w:ascii="Times New Roman" w:hAnsi="Times New Roman"/>
          <w:sz w:val="24"/>
          <w:szCs w:val="24"/>
        </w:rPr>
        <w:t>.</w:t>
      </w:r>
    </w:p>
    <w:p w:rsidR="004812E3" w:rsidRDefault="004812E3" w:rsidP="00DE2D5F">
      <w:pPr>
        <w:jc w:val="both"/>
        <w:rPr>
          <w:rFonts w:ascii="Times New Roman" w:hAnsi="Times New Roman"/>
          <w:sz w:val="24"/>
          <w:szCs w:val="24"/>
        </w:rPr>
      </w:pPr>
    </w:p>
    <w:p w:rsidR="00BC3D44" w:rsidRDefault="00AA4915" w:rsidP="00DE2D5F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Razdoblje počeka počelo je teći od dana iskorištenja cjelokupnog kredita i trajalo je do 01. listopada 2016. godine. </w:t>
      </w:r>
    </w:p>
    <w:p w:rsidR="00B26100" w:rsidRDefault="00AA4915" w:rsidP="00DE2D5F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Kredit se otplaćuje u 32 </w:t>
      </w:r>
      <w:r w:rsidR="00B26100">
        <w:rPr>
          <w:rFonts w:ascii="Times New Roman" w:hAnsi="Times New Roman"/>
          <w:sz w:val="24"/>
          <w:szCs w:val="24"/>
        </w:rPr>
        <w:t xml:space="preserve">(tridesetdvije) </w:t>
      </w:r>
      <w:r>
        <w:rPr>
          <w:rFonts w:ascii="Times New Roman" w:hAnsi="Times New Roman"/>
          <w:sz w:val="24"/>
          <w:szCs w:val="24"/>
        </w:rPr>
        <w:t xml:space="preserve">jednake kvartalne rate, prvog dana kvartala, u protuvrijednosti kuna iznosa iskazanog u EUR uz primjenu srednjeg tečaja HNB na dan vraćanja kredita. </w:t>
      </w:r>
    </w:p>
    <w:p w:rsidR="00B26100" w:rsidRDefault="00AA4915" w:rsidP="00A477A7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AA4915">
        <w:rPr>
          <w:rFonts w:ascii="Times New Roman" w:hAnsi="Times New Roman"/>
          <w:sz w:val="24"/>
          <w:szCs w:val="24"/>
        </w:rPr>
        <w:t>Prva rata kredita dospjela je na naplatu prvog dana kvartala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4915">
        <w:rPr>
          <w:rFonts w:ascii="Times New Roman" w:hAnsi="Times New Roman"/>
          <w:sz w:val="24"/>
          <w:szCs w:val="24"/>
        </w:rPr>
        <w:t xml:space="preserve">po isteku počeka odnosno 01. </w:t>
      </w:r>
      <w:r>
        <w:rPr>
          <w:rFonts w:ascii="Times New Roman" w:hAnsi="Times New Roman"/>
          <w:sz w:val="24"/>
          <w:szCs w:val="24"/>
        </w:rPr>
        <w:t>s</w:t>
      </w:r>
      <w:r w:rsidRPr="00AA4915">
        <w:rPr>
          <w:rFonts w:ascii="Times New Roman" w:hAnsi="Times New Roman"/>
          <w:sz w:val="24"/>
          <w:szCs w:val="24"/>
        </w:rPr>
        <w:t xml:space="preserve">iječnja 2017. </w:t>
      </w:r>
      <w:r w:rsidR="00BC3D44">
        <w:rPr>
          <w:rFonts w:ascii="Times New Roman" w:hAnsi="Times New Roman"/>
          <w:sz w:val="24"/>
          <w:szCs w:val="24"/>
        </w:rPr>
        <w:t>godine, a</w:t>
      </w:r>
      <w:r w:rsidR="003F2952">
        <w:rPr>
          <w:rFonts w:ascii="Times New Roman" w:hAnsi="Times New Roman"/>
          <w:sz w:val="24"/>
          <w:szCs w:val="24"/>
        </w:rPr>
        <w:t xml:space="preserve"> </w:t>
      </w:r>
      <w:r w:rsidR="00ED417A">
        <w:rPr>
          <w:rFonts w:ascii="Times New Roman" w:hAnsi="Times New Roman"/>
          <w:sz w:val="24"/>
          <w:szCs w:val="24"/>
        </w:rPr>
        <w:t xml:space="preserve">posljednja </w:t>
      </w:r>
      <w:r w:rsidR="003F2952">
        <w:rPr>
          <w:rFonts w:ascii="Times New Roman" w:hAnsi="Times New Roman"/>
          <w:sz w:val="24"/>
          <w:szCs w:val="24"/>
        </w:rPr>
        <w:t>dospijeva 01. listopada 2024. g</w:t>
      </w:r>
      <w:r w:rsidR="00BC3D44">
        <w:rPr>
          <w:rFonts w:ascii="Times New Roman" w:hAnsi="Times New Roman"/>
          <w:sz w:val="24"/>
          <w:szCs w:val="24"/>
        </w:rPr>
        <w:t>odine.</w:t>
      </w:r>
    </w:p>
    <w:p w:rsidR="00BC3D44" w:rsidRDefault="00BC3D44" w:rsidP="00B26100">
      <w:pPr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Iznosi otplata po dugoročnom kreditu Zagrebačke banke d.d.  raspoređeni prema dospijeću u narednim godinama</w:t>
      </w:r>
      <w:r w:rsidR="003F0741">
        <w:rPr>
          <w:rFonts w:ascii="Times New Roman" w:hAnsi="Times New Roman"/>
          <w:sz w:val="24"/>
          <w:szCs w:val="24"/>
        </w:rPr>
        <w:t xml:space="preserve"> po dostavljenom otplatnom planu u kunama</w:t>
      </w:r>
      <w:r w:rsidR="00B26100">
        <w:rPr>
          <w:rFonts w:ascii="Times New Roman" w:hAnsi="Times New Roman"/>
          <w:sz w:val="24"/>
          <w:szCs w:val="24"/>
        </w:rPr>
        <w:t>:</w:t>
      </w:r>
    </w:p>
    <w:p w:rsidR="00BC3D44" w:rsidRDefault="00BC3D44" w:rsidP="00F45F44">
      <w:pPr>
        <w:rPr>
          <w:rFonts w:ascii="Times New Roman" w:hAnsi="Times New Roman"/>
          <w:sz w:val="24"/>
          <w:szCs w:val="24"/>
        </w:rPr>
      </w:pPr>
    </w:p>
    <w:tbl>
      <w:tblPr>
        <w:tblW w:w="8840" w:type="dxa"/>
        <w:tblInd w:w="1101" w:type="dxa"/>
        <w:tblLook w:val="04A0"/>
      </w:tblPr>
      <w:tblGrid>
        <w:gridCol w:w="2690"/>
        <w:gridCol w:w="1802"/>
        <w:gridCol w:w="1517"/>
        <w:gridCol w:w="2831"/>
      </w:tblGrid>
      <w:tr w:rsidR="009879C0" w:rsidRPr="009879C0" w:rsidTr="00DE2D5F">
        <w:trPr>
          <w:trHeight w:val="30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879C0" w:rsidRPr="009879C0" w:rsidRDefault="009879C0" w:rsidP="00987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ZAGREBAČKA BANKA, DUGOROČNI KREDIT</w:t>
            </w:r>
          </w:p>
        </w:tc>
      </w:tr>
      <w:tr w:rsidR="009879C0" w:rsidRPr="009879C0" w:rsidTr="00DE2D5F">
        <w:trPr>
          <w:trHeight w:val="30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879C0" w:rsidRPr="009879C0" w:rsidRDefault="009879C0" w:rsidP="00987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UGOVORENI IZNOS KREDITA 20.000.000,00 KN</w:t>
            </w:r>
          </w:p>
        </w:tc>
      </w:tr>
      <w:tr w:rsidR="009879C0" w:rsidRPr="009879C0" w:rsidTr="00DE2D5F">
        <w:trPr>
          <w:trHeight w:val="30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C0" w:rsidRPr="00DD594E" w:rsidRDefault="00DE2D5F" w:rsidP="00987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DD59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TEF</w:t>
            </w:r>
            <w:r w:rsidR="00E37A4A" w:rsidRPr="00DD59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 i ostale kapitalne investicije</w:t>
            </w:r>
            <w:r w:rsidR="009879C0" w:rsidRPr="00DD59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879C0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C0" w:rsidRPr="009879C0" w:rsidRDefault="00000B57" w:rsidP="00987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DOSPIJEĆE/</w:t>
            </w:r>
            <w:r w:rsidR="00DE2D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C0" w:rsidRPr="009879C0" w:rsidRDefault="009879C0" w:rsidP="00987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GLAVNICA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C0" w:rsidRPr="009879C0" w:rsidRDefault="009879C0" w:rsidP="00987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KAMATA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C0" w:rsidRPr="009879C0" w:rsidRDefault="009879C0" w:rsidP="00987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OTPLATNA RATA</w:t>
            </w:r>
          </w:p>
        </w:tc>
      </w:tr>
      <w:tr w:rsidR="00AB154E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2.500.000,00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325.971,26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2.825.971,26</w:t>
            </w:r>
          </w:p>
        </w:tc>
      </w:tr>
      <w:tr w:rsidR="00AB154E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2.500.000,00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236.219,18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2.736.219,18</w:t>
            </w:r>
          </w:p>
        </w:tc>
      </w:tr>
      <w:tr w:rsidR="00AB154E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2.500.000,00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146.219,17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2.646.219,17</w:t>
            </w:r>
          </w:p>
        </w:tc>
      </w:tr>
      <w:tr w:rsidR="00AB154E" w:rsidRPr="009879C0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2.500.000,00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56.311,98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E" w:rsidRPr="009879C0" w:rsidRDefault="00AB154E" w:rsidP="00F4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2.556.311,98</w:t>
            </w:r>
          </w:p>
        </w:tc>
      </w:tr>
    </w:tbl>
    <w:p w:rsidR="00BC3D44" w:rsidRPr="00AA4915" w:rsidRDefault="00BC3D44" w:rsidP="002A419E">
      <w:pPr>
        <w:rPr>
          <w:rFonts w:ascii="Times New Roman" w:hAnsi="Times New Roman"/>
          <w:sz w:val="24"/>
          <w:szCs w:val="24"/>
        </w:rPr>
      </w:pPr>
    </w:p>
    <w:p w:rsidR="004D3988" w:rsidRDefault="004D3988" w:rsidP="00E3655D">
      <w:pPr>
        <w:ind w:firstLine="708"/>
        <w:rPr>
          <w:rFonts w:ascii="Times New Roman" w:hAnsi="Times New Roman"/>
          <w:sz w:val="24"/>
          <w:szCs w:val="24"/>
        </w:rPr>
      </w:pPr>
    </w:p>
    <w:p w:rsidR="00CE015A" w:rsidRDefault="00CE015A" w:rsidP="00E3655D">
      <w:pPr>
        <w:ind w:firstLine="708"/>
        <w:rPr>
          <w:rFonts w:ascii="Times New Roman" w:hAnsi="Times New Roman"/>
          <w:sz w:val="24"/>
          <w:szCs w:val="24"/>
        </w:rPr>
      </w:pPr>
    </w:p>
    <w:p w:rsidR="00CE015A" w:rsidRDefault="00CE015A" w:rsidP="00E3655D">
      <w:pPr>
        <w:ind w:firstLine="708"/>
        <w:rPr>
          <w:rFonts w:ascii="Times New Roman" w:hAnsi="Times New Roman"/>
          <w:sz w:val="24"/>
          <w:szCs w:val="24"/>
        </w:rPr>
      </w:pPr>
    </w:p>
    <w:p w:rsidR="00CE015A" w:rsidRDefault="00CE015A" w:rsidP="00E3655D">
      <w:pPr>
        <w:ind w:firstLine="708"/>
        <w:rPr>
          <w:rFonts w:ascii="Times New Roman" w:hAnsi="Times New Roman"/>
          <w:sz w:val="24"/>
          <w:szCs w:val="24"/>
        </w:rPr>
      </w:pPr>
    </w:p>
    <w:p w:rsidR="00CE015A" w:rsidRDefault="00CE015A" w:rsidP="00E3655D">
      <w:pPr>
        <w:ind w:firstLine="708"/>
        <w:rPr>
          <w:rFonts w:ascii="Times New Roman" w:hAnsi="Times New Roman"/>
          <w:sz w:val="24"/>
          <w:szCs w:val="24"/>
        </w:rPr>
      </w:pPr>
    </w:p>
    <w:p w:rsidR="00A477A7" w:rsidRDefault="00A477A7" w:rsidP="00E3655D">
      <w:pPr>
        <w:ind w:firstLine="708"/>
        <w:rPr>
          <w:rFonts w:ascii="Times New Roman" w:hAnsi="Times New Roman"/>
          <w:sz w:val="24"/>
          <w:szCs w:val="24"/>
        </w:rPr>
      </w:pPr>
    </w:p>
    <w:p w:rsidR="00CE015A" w:rsidRDefault="00CE015A" w:rsidP="00E3655D">
      <w:pPr>
        <w:ind w:firstLine="708"/>
        <w:rPr>
          <w:rFonts w:ascii="Times New Roman" w:hAnsi="Times New Roman"/>
          <w:sz w:val="24"/>
          <w:szCs w:val="24"/>
        </w:rPr>
      </w:pPr>
    </w:p>
    <w:p w:rsidR="006B4502" w:rsidRDefault="006B4502" w:rsidP="00E3655D">
      <w:pPr>
        <w:ind w:firstLine="708"/>
        <w:rPr>
          <w:rFonts w:ascii="Times New Roman" w:hAnsi="Times New Roman"/>
          <w:sz w:val="24"/>
          <w:szCs w:val="24"/>
        </w:rPr>
      </w:pPr>
    </w:p>
    <w:p w:rsidR="0070738C" w:rsidRDefault="0070738C" w:rsidP="00E3655D">
      <w:pPr>
        <w:ind w:firstLine="708"/>
        <w:rPr>
          <w:rFonts w:ascii="Times New Roman" w:hAnsi="Times New Roman"/>
          <w:sz w:val="24"/>
          <w:szCs w:val="24"/>
        </w:rPr>
      </w:pPr>
    </w:p>
    <w:p w:rsidR="0070738C" w:rsidRPr="00E3655D" w:rsidRDefault="0070738C" w:rsidP="00E3655D">
      <w:pPr>
        <w:ind w:firstLine="708"/>
        <w:rPr>
          <w:rFonts w:ascii="Times New Roman" w:hAnsi="Times New Roman"/>
          <w:sz w:val="24"/>
          <w:szCs w:val="24"/>
        </w:rPr>
      </w:pPr>
    </w:p>
    <w:p w:rsidR="00C03415" w:rsidRDefault="00BE5B4E" w:rsidP="00183EB2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095FE7">
        <w:rPr>
          <w:rFonts w:ascii="Times New Roman" w:hAnsi="Times New Roman"/>
          <w:sz w:val="24"/>
          <w:szCs w:val="24"/>
        </w:rPr>
        <w:lastRenderedPageBreak/>
        <w:t>Grad Šibenik</w:t>
      </w:r>
      <w:r w:rsidR="00DE2D5F">
        <w:rPr>
          <w:rFonts w:ascii="Times New Roman" w:hAnsi="Times New Roman"/>
          <w:sz w:val="24"/>
          <w:szCs w:val="24"/>
        </w:rPr>
        <w:t xml:space="preserve"> je s</w:t>
      </w:r>
      <w:r w:rsidR="006A00A0">
        <w:rPr>
          <w:rFonts w:ascii="Times New Roman" w:hAnsi="Times New Roman"/>
          <w:sz w:val="24"/>
          <w:szCs w:val="24"/>
        </w:rPr>
        <w:t xml:space="preserve"> M</w:t>
      </w:r>
      <w:r w:rsidR="00EB54D7">
        <w:rPr>
          <w:rFonts w:ascii="Times New Roman" w:hAnsi="Times New Roman"/>
          <w:sz w:val="24"/>
          <w:szCs w:val="24"/>
        </w:rPr>
        <w:t>inistarstvom financija zaključi</w:t>
      </w:r>
      <w:r w:rsidR="006A00A0">
        <w:rPr>
          <w:rFonts w:ascii="Times New Roman" w:hAnsi="Times New Roman"/>
          <w:sz w:val="24"/>
          <w:szCs w:val="24"/>
        </w:rPr>
        <w:t xml:space="preserve">o </w:t>
      </w:r>
      <w:r w:rsidR="00FD19DA">
        <w:rPr>
          <w:rFonts w:ascii="Times New Roman" w:hAnsi="Times New Roman"/>
          <w:sz w:val="24"/>
          <w:szCs w:val="24"/>
        </w:rPr>
        <w:t xml:space="preserve">20. srpnja 2016. godine </w:t>
      </w:r>
      <w:r w:rsidRPr="00095FE7">
        <w:rPr>
          <w:rFonts w:ascii="Times New Roman" w:hAnsi="Times New Roman"/>
          <w:sz w:val="24"/>
          <w:szCs w:val="24"/>
        </w:rPr>
        <w:t xml:space="preserve">Ugovor o zajmu za sufinanciranje </w:t>
      </w:r>
      <w:r w:rsidR="00EB54D7">
        <w:rPr>
          <w:rFonts w:ascii="Times New Roman" w:hAnsi="Times New Roman"/>
          <w:sz w:val="24"/>
          <w:szCs w:val="24"/>
        </w:rPr>
        <w:t>EU projekata -Izgradnja</w:t>
      </w:r>
      <w:r w:rsidRPr="00095FE7">
        <w:rPr>
          <w:rFonts w:ascii="Times New Roman" w:hAnsi="Times New Roman"/>
          <w:sz w:val="24"/>
          <w:szCs w:val="24"/>
        </w:rPr>
        <w:t xml:space="preserve"> Regionalnog centra za gospodarenje otpadom Bikarac </w:t>
      </w:r>
      <w:r w:rsidR="00EB54D7">
        <w:rPr>
          <w:rFonts w:ascii="Times New Roman" w:hAnsi="Times New Roman"/>
          <w:sz w:val="24"/>
          <w:szCs w:val="24"/>
        </w:rPr>
        <w:t xml:space="preserve">faza </w:t>
      </w:r>
      <w:r w:rsidRPr="00095FE7">
        <w:rPr>
          <w:rFonts w:ascii="Times New Roman" w:hAnsi="Times New Roman"/>
          <w:sz w:val="24"/>
          <w:szCs w:val="24"/>
        </w:rPr>
        <w:t>II (Operativni program Zaštita okoliša)</w:t>
      </w:r>
      <w:r w:rsidR="00330A02">
        <w:rPr>
          <w:rFonts w:ascii="Times New Roman" w:hAnsi="Times New Roman"/>
          <w:sz w:val="24"/>
          <w:szCs w:val="24"/>
        </w:rPr>
        <w:t>.</w:t>
      </w:r>
    </w:p>
    <w:p w:rsidR="00C03415" w:rsidRDefault="00C03415" w:rsidP="006F0C9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3719C5" w:rsidRDefault="00EB54D7" w:rsidP="006F0C9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Maksimalni iznos zajma</w:t>
      </w:r>
      <w:r w:rsidR="003719C5">
        <w:rPr>
          <w:rFonts w:ascii="Times New Roman" w:hAnsi="Times New Roman"/>
          <w:sz w:val="24"/>
          <w:szCs w:val="24"/>
        </w:rPr>
        <w:t xml:space="preserve"> je, </w:t>
      </w:r>
      <w:r w:rsidR="003719C5" w:rsidRPr="00095FE7">
        <w:rPr>
          <w:rFonts w:ascii="Times New Roman" w:hAnsi="Times New Roman"/>
          <w:sz w:val="24"/>
          <w:szCs w:val="24"/>
        </w:rPr>
        <w:t>sukladno prethodno donesenoj Odluci Gradskog vijeća Grada Šibenika o davanju suglasnosti za osiguranje sredstava lokalnog sufinanciranja za II. fazu projekta (Klasa: 400-09/15</w:t>
      </w:r>
      <w:r w:rsidR="003719C5">
        <w:rPr>
          <w:rFonts w:ascii="Times New Roman" w:hAnsi="Times New Roman"/>
          <w:sz w:val="24"/>
          <w:szCs w:val="24"/>
        </w:rPr>
        <w:t>-01/2, Urbroj: 2182/01-01-15-1),</w:t>
      </w:r>
      <w:r w:rsidR="00BC1C43">
        <w:rPr>
          <w:rFonts w:ascii="Times New Roman" w:hAnsi="Times New Roman"/>
          <w:sz w:val="24"/>
          <w:szCs w:val="24"/>
        </w:rPr>
        <w:t xml:space="preserve"> </w:t>
      </w:r>
      <w:r w:rsidR="00330A02">
        <w:rPr>
          <w:rFonts w:ascii="Times New Roman" w:hAnsi="Times New Roman"/>
          <w:sz w:val="24"/>
          <w:szCs w:val="24"/>
        </w:rPr>
        <w:t>odobren</w:t>
      </w:r>
      <w:r w:rsidR="00BE5B4E" w:rsidRPr="00095FE7">
        <w:rPr>
          <w:rFonts w:ascii="Times New Roman" w:hAnsi="Times New Roman"/>
          <w:sz w:val="24"/>
          <w:szCs w:val="24"/>
        </w:rPr>
        <w:t xml:space="preserve"> u iznosu 18.200.000,00 kn uz fiksnu kamatnu stopu </w:t>
      </w:r>
      <w:r w:rsidR="003719C5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cijelo vrijeme trajanja zajma, a koja </w:t>
      </w:r>
      <w:r w:rsidR="003719C5">
        <w:rPr>
          <w:rFonts w:ascii="Times New Roman" w:hAnsi="Times New Roman"/>
          <w:sz w:val="24"/>
          <w:szCs w:val="24"/>
        </w:rPr>
        <w:t>iznosi 1,328%.</w:t>
      </w:r>
    </w:p>
    <w:p w:rsidR="003719C5" w:rsidRDefault="003719C5" w:rsidP="006F0C9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C03415" w:rsidRDefault="00DE2D5F" w:rsidP="006F0C9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Zajam se otplaćuje</w:t>
      </w:r>
      <w:r w:rsidR="00EA27E7">
        <w:rPr>
          <w:rFonts w:ascii="Times New Roman" w:hAnsi="Times New Roman"/>
          <w:sz w:val="24"/>
          <w:szCs w:val="24"/>
        </w:rPr>
        <w:t xml:space="preserve"> </w:t>
      </w:r>
      <w:r w:rsidR="003719C5">
        <w:rPr>
          <w:rFonts w:ascii="Times New Roman" w:hAnsi="Times New Roman"/>
          <w:sz w:val="24"/>
          <w:szCs w:val="24"/>
        </w:rPr>
        <w:t xml:space="preserve">sukcesivno u roku </w:t>
      </w:r>
      <w:r w:rsidR="00BE5B4E" w:rsidRPr="00095FE7">
        <w:rPr>
          <w:rFonts w:ascii="Times New Roman" w:hAnsi="Times New Roman"/>
          <w:sz w:val="24"/>
          <w:szCs w:val="24"/>
        </w:rPr>
        <w:t xml:space="preserve">od 25 godina uključujući </w:t>
      </w:r>
      <w:r w:rsidR="003719C5">
        <w:rPr>
          <w:rFonts w:ascii="Times New Roman" w:hAnsi="Times New Roman"/>
          <w:sz w:val="24"/>
          <w:szCs w:val="24"/>
        </w:rPr>
        <w:t xml:space="preserve">i </w:t>
      </w:r>
      <w:r w:rsidR="00BE5B4E" w:rsidRPr="00095FE7">
        <w:rPr>
          <w:rFonts w:ascii="Times New Roman" w:hAnsi="Times New Roman"/>
          <w:sz w:val="24"/>
          <w:szCs w:val="24"/>
        </w:rPr>
        <w:t>poček od 5 godina</w:t>
      </w:r>
      <w:r w:rsidR="003719C5">
        <w:rPr>
          <w:rFonts w:ascii="Times New Roman" w:hAnsi="Times New Roman"/>
          <w:sz w:val="24"/>
          <w:szCs w:val="24"/>
        </w:rPr>
        <w:t xml:space="preserve"> u 80 (osamdeset) jednakih tromjesečnih rata</w:t>
      </w:r>
      <w:r w:rsidR="003D2F04">
        <w:rPr>
          <w:rFonts w:ascii="Times New Roman" w:hAnsi="Times New Roman"/>
          <w:sz w:val="24"/>
          <w:szCs w:val="24"/>
        </w:rPr>
        <w:t>.</w:t>
      </w:r>
    </w:p>
    <w:p w:rsidR="00B55453" w:rsidRDefault="00B55453" w:rsidP="006F0C9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3D2F04" w:rsidRDefault="006F0C9F" w:rsidP="006F0C9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Kamata se obračunava od prvo</w:t>
      </w:r>
      <w:r w:rsidR="003D2F04">
        <w:rPr>
          <w:rFonts w:ascii="Times New Roman" w:hAnsi="Times New Roman"/>
          <w:sz w:val="24"/>
          <w:szCs w:val="24"/>
        </w:rPr>
        <w:t>g korištenja zajma, a naplaćuje se nakon isteka počeka, u 80 (osamdeset) jednakih tromjesečnih rata.</w:t>
      </w:r>
    </w:p>
    <w:p w:rsidR="00B55453" w:rsidRDefault="00B55453" w:rsidP="006F0C9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3D2F04" w:rsidRDefault="00B55453" w:rsidP="006F0C9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Naknade za obradu zahtjeva i administriranje zajma te naknade za prijevremenu otplatu zajma se ne obračunavaju.</w:t>
      </w:r>
    </w:p>
    <w:p w:rsidR="00B55453" w:rsidRDefault="00B55453" w:rsidP="006F0C9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C03415" w:rsidRDefault="00BE5B4E" w:rsidP="006F0C9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C72383">
        <w:rPr>
          <w:rFonts w:ascii="Times New Roman" w:hAnsi="Times New Roman"/>
          <w:sz w:val="24"/>
          <w:szCs w:val="24"/>
        </w:rPr>
        <w:t xml:space="preserve">Ugovorom je utvrđeno da se sredstva uplaćuju na račun Bikarac d.o.o. prema dospijeću plaćanja nacionalnog sufinanciranja, a nakon </w:t>
      </w:r>
      <w:r w:rsidR="00C72383">
        <w:rPr>
          <w:rFonts w:ascii="Times New Roman" w:hAnsi="Times New Roman"/>
          <w:sz w:val="24"/>
          <w:szCs w:val="24"/>
        </w:rPr>
        <w:t xml:space="preserve"> </w:t>
      </w:r>
      <w:r w:rsidRPr="00C72383">
        <w:rPr>
          <w:rFonts w:ascii="Times New Roman" w:hAnsi="Times New Roman"/>
          <w:sz w:val="24"/>
          <w:szCs w:val="24"/>
        </w:rPr>
        <w:t>urednog primitka p</w:t>
      </w:r>
      <w:r w:rsidR="00330A02">
        <w:rPr>
          <w:rFonts w:ascii="Times New Roman" w:hAnsi="Times New Roman"/>
          <w:sz w:val="24"/>
          <w:szCs w:val="24"/>
        </w:rPr>
        <w:t>otpisanog zahtjeva Zajmoprimca - Grada Šibenika</w:t>
      </w:r>
      <w:r w:rsidRPr="00C72383">
        <w:rPr>
          <w:rFonts w:ascii="Times New Roman" w:hAnsi="Times New Roman"/>
          <w:sz w:val="24"/>
          <w:szCs w:val="24"/>
        </w:rPr>
        <w:t>.</w:t>
      </w:r>
      <w:r w:rsidR="00C03415">
        <w:rPr>
          <w:rFonts w:ascii="Times New Roman" w:hAnsi="Times New Roman"/>
          <w:sz w:val="24"/>
          <w:szCs w:val="24"/>
        </w:rPr>
        <w:t xml:space="preserve"> </w:t>
      </w:r>
    </w:p>
    <w:p w:rsidR="00C03415" w:rsidRDefault="00C03415" w:rsidP="006F0C9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297939" w:rsidRDefault="008D3AB7" w:rsidP="00DE2D5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EC755A">
        <w:rPr>
          <w:rFonts w:ascii="Times New Roman" w:hAnsi="Times New Roman"/>
          <w:sz w:val="24"/>
          <w:szCs w:val="24"/>
        </w:rPr>
        <w:t>Do 3</w:t>
      </w:r>
      <w:r w:rsidR="0070738C" w:rsidRPr="00EC755A">
        <w:rPr>
          <w:rFonts w:ascii="Times New Roman" w:hAnsi="Times New Roman"/>
          <w:sz w:val="24"/>
          <w:szCs w:val="24"/>
        </w:rPr>
        <w:t>1</w:t>
      </w:r>
      <w:r w:rsidRPr="00EC755A">
        <w:rPr>
          <w:rFonts w:ascii="Times New Roman" w:hAnsi="Times New Roman"/>
          <w:sz w:val="24"/>
          <w:szCs w:val="24"/>
        </w:rPr>
        <w:t xml:space="preserve">. </w:t>
      </w:r>
      <w:r w:rsidR="0070738C" w:rsidRPr="00EC755A">
        <w:rPr>
          <w:rFonts w:ascii="Times New Roman" w:hAnsi="Times New Roman"/>
          <w:sz w:val="24"/>
          <w:szCs w:val="24"/>
        </w:rPr>
        <w:t>prosinca</w:t>
      </w:r>
      <w:r w:rsidR="00C03415" w:rsidRPr="00EC755A">
        <w:rPr>
          <w:rFonts w:ascii="Times New Roman" w:hAnsi="Times New Roman"/>
          <w:sz w:val="24"/>
          <w:szCs w:val="24"/>
        </w:rPr>
        <w:t xml:space="preserve"> </w:t>
      </w:r>
      <w:r w:rsidR="0035002E" w:rsidRPr="00EC755A">
        <w:rPr>
          <w:rFonts w:ascii="Times New Roman" w:hAnsi="Times New Roman"/>
          <w:sz w:val="24"/>
          <w:szCs w:val="24"/>
        </w:rPr>
        <w:t>20</w:t>
      </w:r>
      <w:r w:rsidR="005216D5" w:rsidRPr="00EC755A">
        <w:rPr>
          <w:rFonts w:ascii="Times New Roman" w:hAnsi="Times New Roman"/>
          <w:sz w:val="24"/>
          <w:szCs w:val="24"/>
        </w:rPr>
        <w:t>20</w:t>
      </w:r>
      <w:r w:rsidR="00427189" w:rsidRPr="00EC755A">
        <w:rPr>
          <w:rFonts w:ascii="Times New Roman" w:hAnsi="Times New Roman"/>
          <w:sz w:val="24"/>
          <w:szCs w:val="24"/>
        </w:rPr>
        <w:t xml:space="preserve">. godine Bikarac d.o.o. je povukao ukupno </w:t>
      </w:r>
      <w:r w:rsidR="0070738C" w:rsidRPr="00EC755A">
        <w:rPr>
          <w:rFonts w:ascii="Times New Roman" w:hAnsi="Times New Roman"/>
          <w:sz w:val="24"/>
          <w:szCs w:val="24"/>
        </w:rPr>
        <w:t>14.498.065,28</w:t>
      </w:r>
      <w:r w:rsidR="00DE2D5F" w:rsidRPr="00EC755A">
        <w:rPr>
          <w:rFonts w:ascii="Times New Roman" w:hAnsi="Times New Roman"/>
          <w:sz w:val="24"/>
          <w:szCs w:val="24"/>
        </w:rPr>
        <w:t xml:space="preserve"> kn sredstava odobrenog</w:t>
      </w:r>
      <w:r w:rsidR="00427189" w:rsidRPr="00EC755A">
        <w:rPr>
          <w:rFonts w:ascii="Times New Roman" w:hAnsi="Times New Roman"/>
          <w:sz w:val="24"/>
          <w:szCs w:val="24"/>
        </w:rPr>
        <w:t xml:space="preserve"> Zajma.</w:t>
      </w:r>
    </w:p>
    <w:p w:rsidR="00DE2D5F" w:rsidRDefault="00DE2D5F" w:rsidP="00DE2D5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DE2D5F" w:rsidRDefault="00DE2D5F" w:rsidP="00DE2D5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E3655D" w:rsidRDefault="006F0C9F" w:rsidP="00DE2D5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Dospijeće 1. rate je 5 godina od prvog korištenja zajma odnosno 30. rujna 2021. godine, a posljednja rata dospijeva 30. li</w:t>
      </w:r>
      <w:r w:rsidR="00DE2D5F">
        <w:rPr>
          <w:rFonts w:ascii="Times New Roman" w:hAnsi="Times New Roman"/>
          <w:sz w:val="24"/>
          <w:szCs w:val="24"/>
        </w:rPr>
        <w:t>pnja 2041.godine.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CE015A" w:rsidRDefault="00CE015A" w:rsidP="006F0C9F">
      <w:pPr>
        <w:ind w:left="1068"/>
        <w:jc w:val="both"/>
        <w:rPr>
          <w:rFonts w:ascii="Times New Roman" w:hAnsi="Times New Roman"/>
          <w:sz w:val="24"/>
          <w:szCs w:val="24"/>
        </w:rPr>
      </w:pPr>
    </w:p>
    <w:p w:rsidR="00CE015A" w:rsidRDefault="00CE015A" w:rsidP="006F0C9F">
      <w:pPr>
        <w:ind w:left="1068"/>
        <w:jc w:val="both"/>
        <w:rPr>
          <w:rFonts w:ascii="Times New Roman" w:hAnsi="Times New Roman"/>
          <w:sz w:val="24"/>
          <w:szCs w:val="24"/>
        </w:rPr>
      </w:pPr>
    </w:p>
    <w:p w:rsidR="00CE015A" w:rsidRDefault="00CE015A" w:rsidP="006F0C9F">
      <w:pPr>
        <w:ind w:left="1068"/>
        <w:jc w:val="both"/>
        <w:rPr>
          <w:rFonts w:ascii="Times New Roman" w:hAnsi="Times New Roman"/>
          <w:sz w:val="24"/>
          <w:szCs w:val="24"/>
        </w:rPr>
      </w:pPr>
    </w:p>
    <w:p w:rsidR="00CE015A" w:rsidRDefault="00CE015A" w:rsidP="006F0C9F">
      <w:pPr>
        <w:ind w:left="1068"/>
        <w:jc w:val="both"/>
        <w:rPr>
          <w:rFonts w:ascii="Times New Roman" w:hAnsi="Times New Roman"/>
          <w:sz w:val="24"/>
          <w:szCs w:val="24"/>
        </w:rPr>
      </w:pPr>
    </w:p>
    <w:p w:rsidR="00201893" w:rsidRDefault="00201893" w:rsidP="00C614E1">
      <w:pPr>
        <w:jc w:val="both"/>
        <w:rPr>
          <w:rFonts w:ascii="Times New Roman" w:hAnsi="Times New Roman"/>
          <w:sz w:val="24"/>
          <w:szCs w:val="24"/>
        </w:rPr>
      </w:pPr>
    </w:p>
    <w:p w:rsidR="00201893" w:rsidRDefault="00201893" w:rsidP="006F0C9F">
      <w:pPr>
        <w:ind w:left="1068"/>
        <w:jc w:val="both"/>
        <w:rPr>
          <w:rFonts w:ascii="Times New Roman" w:hAnsi="Times New Roman"/>
          <w:sz w:val="24"/>
          <w:szCs w:val="24"/>
        </w:rPr>
      </w:pPr>
    </w:p>
    <w:p w:rsidR="00CE015A" w:rsidRDefault="002A419E" w:rsidP="00DE2D5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Iznosi otplata po dugoročnom zajmu Ministarstva financija  </w:t>
      </w:r>
      <w:r w:rsidR="006F0C9F">
        <w:rPr>
          <w:rFonts w:ascii="Times New Roman" w:hAnsi="Times New Roman"/>
          <w:sz w:val="24"/>
          <w:szCs w:val="24"/>
        </w:rPr>
        <w:t xml:space="preserve">za projekt sufinanciranja EU IPA ISPA 2007-2011 – Grad Šibenik – Bikarac II </w:t>
      </w:r>
      <w:r>
        <w:rPr>
          <w:rFonts w:ascii="Times New Roman" w:hAnsi="Times New Roman"/>
          <w:sz w:val="24"/>
          <w:szCs w:val="24"/>
        </w:rPr>
        <w:t>raspoređeni prema dospijeću u narednim godinama po dostavl</w:t>
      </w:r>
      <w:r w:rsidR="00297939">
        <w:rPr>
          <w:rFonts w:ascii="Times New Roman" w:hAnsi="Times New Roman"/>
          <w:sz w:val="24"/>
          <w:szCs w:val="24"/>
        </w:rPr>
        <w:t>jenom otplatnom planu u kunama:</w:t>
      </w:r>
    </w:p>
    <w:p w:rsidR="00FD011F" w:rsidRDefault="00FD011F" w:rsidP="00DE2D5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DE2D5F" w:rsidRPr="00DE2D5F" w:rsidRDefault="00DE2D5F" w:rsidP="00DE2D5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16"/>
          <w:szCs w:val="16"/>
        </w:rPr>
      </w:pPr>
    </w:p>
    <w:tbl>
      <w:tblPr>
        <w:tblW w:w="4492" w:type="dxa"/>
        <w:tblInd w:w="1242" w:type="dxa"/>
        <w:tblLook w:val="04A0"/>
      </w:tblPr>
      <w:tblGrid>
        <w:gridCol w:w="2690"/>
        <w:gridCol w:w="1802"/>
      </w:tblGrid>
      <w:tr w:rsidR="00D44C53" w:rsidRPr="00F86DF7" w:rsidTr="00DE2D5F">
        <w:trPr>
          <w:trHeight w:val="300"/>
        </w:trPr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44C53" w:rsidRPr="00F86DF7" w:rsidRDefault="00D44C53" w:rsidP="00D4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1" w:name="_Hlk67402868"/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MINISTARSTVO FINANCIJA</w:t>
            </w:r>
          </w:p>
        </w:tc>
      </w:tr>
      <w:tr w:rsidR="00D44C53" w:rsidRPr="00F86DF7" w:rsidTr="00DE2D5F">
        <w:trPr>
          <w:trHeight w:val="300"/>
        </w:trPr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44C53" w:rsidRPr="00F86DF7" w:rsidRDefault="00D44C53" w:rsidP="00D4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UGOVORENI IZNOS ZAJMA</w:t>
            </w:r>
            <w:r w:rsid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– Bikarac II. faza</w:t>
            </w: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18.200.000,00 KN</w:t>
            </w:r>
          </w:p>
        </w:tc>
      </w:tr>
      <w:tr w:rsidR="00000B57" w:rsidRPr="00F86DF7" w:rsidTr="00DE2D5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57" w:rsidRPr="00F86DF7" w:rsidRDefault="00DC7775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DOSPIJEĆE/</w:t>
            </w:r>
            <w:r w:rsidR="00DE2D5F"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GODINA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57" w:rsidRPr="00F86DF7" w:rsidRDefault="00466C97" w:rsidP="00A07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ANUITET/kn</w:t>
            </w:r>
          </w:p>
        </w:tc>
      </w:tr>
      <w:tr w:rsidR="00000B57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57" w:rsidRPr="00F86DF7" w:rsidRDefault="00000B57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57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536.270,28</w:t>
            </w:r>
          </w:p>
        </w:tc>
      </w:tr>
      <w:tr w:rsidR="00000B57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57" w:rsidRPr="00F86DF7" w:rsidRDefault="00000B57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57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2025.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2026.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2027.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2028.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2029.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2030.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2031.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2032.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2033.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2034.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2035.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2036.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2037.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2038.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2039.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FD011F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2040.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1F" w:rsidRPr="00FD011F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1.072.540,56</w:t>
            </w:r>
          </w:p>
        </w:tc>
      </w:tr>
      <w:tr w:rsidR="00000B57" w:rsidRPr="00F86DF7" w:rsidTr="00FD011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57" w:rsidRPr="00F86DF7" w:rsidRDefault="00000B57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6D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2041.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57" w:rsidRPr="00F86DF7" w:rsidRDefault="00FD011F" w:rsidP="00FD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</w:t>
            </w:r>
            <w:r w:rsidRPr="00FD01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536.270,28</w:t>
            </w:r>
          </w:p>
        </w:tc>
      </w:tr>
      <w:bookmarkEnd w:id="1"/>
    </w:tbl>
    <w:p w:rsidR="00C614E1" w:rsidRDefault="00C614E1" w:rsidP="00975260">
      <w:pPr>
        <w:jc w:val="both"/>
        <w:rPr>
          <w:rFonts w:ascii="Times New Roman" w:hAnsi="Times New Roman"/>
          <w:sz w:val="24"/>
          <w:szCs w:val="24"/>
        </w:rPr>
      </w:pPr>
    </w:p>
    <w:p w:rsidR="003C7B2A" w:rsidRPr="00EC755A" w:rsidRDefault="00E2107E" w:rsidP="00183EB2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  <w:r w:rsidRPr="00EC755A">
        <w:rPr>
          <w:rFonts w:ascii="Times New Roman" w:hAnsi="Times New Roman"/>
          <w:sz w:val="24"/>
          <w:szCs w:val="24"/>
        </w:rPr>
        <w:lastRenderedPageBreak/>
        <w:t>Postupajući po čl. 87. Zakona o proračunu</w:t>
      </w:r>
      <w:r w:rsidR="00540EEA" w:rsidRPr="00EC755A">
        <w:rPr>
          <w:rFonts w:ascii="Times New Roman" w:hAnsi="Times New Roman"/>
          <w:sz w:val="24"/>
          <w:szCs w:val="24"/>
        </w:rPr>
        <w:t xml:space="preserve">, Grad Šibenik je </w:t>
      </w:r>
      <w:r w:rsidR="00FD2620" w:rsidRPr="00EC755A">
        <w:rPr>
          <w:rFonts w:ascii="Times New Roman" w:hAnsi="Times New Roman"/>
          <w:sz w:val="24"/>
          <w:szCs w:val="24"/>
        </w:rPr>
        <w:t>sukladno Odluci Gradskog vijeća Grada Šibenika o zaduženju Grada Šibenika za kapitalne investicije i EU projekte (KLASA: 406-01/20-02708, URBROJ: 2182/01-06-20-13</w:t>
      </w:r>
      <w:r w:rsidR="000E4799" w:rsidRPr="00EC755A">
        <w:rPr>
          <w:rFonts w:ascii="Times New Roman" w:hAnsi="Times New Roman"/>
          <w:sz w:val="24"/>
          <w:szCs w:val="24"/>
        </w:rPr>
        <w:t>)</w:t>
      </w:r>
      <w:r w:rsidR="00FD2620" w:rsidRPr="00EC755A">
        <w:rPr>
          <w:rFonts w:ascii="Times New Roman" w:hAnsi="Times New Roman"/>
          <w:sz w:val="24"/>
          <w:szCs w:val="24"/>
        </w:rPr>
        <w:t xml:space="preserve"> od 31. srpnja 2020. godine te </w:t>
      </w:r>
      <w:r w:rsidR="00540EEA" w:rsidRPr="00EC755A">
        <w:rPr>
          <w:rFonts w:ascii="Times New Roman" w:hAnsi="Times New Roman"/>
          <w:sz w:val="24"/>
          <w:szCs w:val="24"/>
        </w:rPr>
        <w:t>p</w:t>
      </w:r>
      <w:r w:rsidRPr="00EC755A">
        <w:rPr>
          <w:rFonts w:ascii="Times New Roman" w:hAnsi="Times New Roman"/>
          <w:sz w:val="24"/>
          <w:szCs w:val="24"/>
        </w:rPr>
        <w:t>o dobivenoj suglasnosti Vlade RH za dugoročno zaduženje (KLASA: 022-03/20-04/426, URBROJ: 50301-05/31-20-2)</w:t>
      </w:r>
      <w:r w:rsidR="00154BC0" w:rsidRPr="00EC755A">
        <w:rPr>
          <w:rFonts w:ascii="Times New Roman" w:hAnsi="Times New Roman"/>
          <w:sz w:val="24"/>
          <w:szCs w:val="24"/>
        </w:rPr>
        <w:t xml:space="preserve"> od 30. studenog 2020. godine</w:t>
      </w:r>
      <w:r w:rsidRPr="00EC755A">
        <w:rPr>
          <w:rFonts w:ascii="Times New Roman" w:hAnsi="Times New Roman"/>
          <w:sz w:val="24"/>
          <w:szCs w:val="24"/>
        </w:rPr>
        <w:t xml:space="preserve">, </w:t>
      </w:r>
      <w:r w:rsidR="00CA3035">
        <w:rPr>
          <w:rFonts w:ascii="Times New Roman" w:hAnsi="Times New Roman"/>
          <w:sz w:val="24"/>
          <w:szCs w:val="24"/>
        </w:rPr>
        <w:t>sklopio</w:t>
      </w:r>
      <w:r w:rsidR="00540EEA" w:rsidRPr="00EC755A">
        <w:rPr>
          <w:rFonts w:ascii="Times New Roman" w:hAnsi="Times New Roman"/>
          <w:sz w:val="24"/>
          <w:szCs w:val="24"/>
        </w:rPr>
        <w:t xml:space="preserve"> 29. prosinca 2020. godine s Hrvatskom poštanskom bankom, d.d., Zagreb Ugovor o dugoročnom kreditu broj 133/2020-DPVPJS (KLASA: 496-01720-02708, URBROJ: 2182/01-06-20-20) u iznosu 27.500.000,00 kn</w:t>
      </w:r>
      <w:r w:rsidR="00F46E98" w:rsidRPr="00EC755A">
        <w:rPr>
          <w:rFonts w:ascii="Times New Roman" w:hAnsi="Times New Roman"/>
          <w:sz w:val="24"/>
          <w:szCs w:val="24"/>
        </w:rPr>
        <w:t xml:space="preserve"> za financiranje kapitalnih projekata</w:t>
      </w:r>
      <w:r w:rsidR="00CA3035">
        <w:rPr>
          <w:rFonts w:ascii="Times New Roman" w:hAnsi="Times New Roman"/>
          <w:sz w:val="24"/>
          <w:szCs w:val="24"/>
        </w:rPr>
        <w:t xml:space="preserve"> te o istom izvijestio Ministarstvo financija.</w:t>
      </w:r>
    </w:p>
    <w:p w:rsidR="00CA3035" w:rsidRDefault="00CA3035" w:rsidP="003E1307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</w:p>
    <w:p w:rsidR="003E1307" w:rsidRPr="00EC755A" w:rsidRDefault="003C7B2A" w:rsidP="003E1307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  <w:r w:rsidRPr="00EC755A">
        <w:rPr>
          <w:rFonts w:ascii="Times New Roman" w:hAnsi="Times New Roman"/>
          <w:sz w:val="24"/>
          <w:szCs w:val="24"/>
        </w:rPr>
        <w:t>R</w:t>
      </w:r>
      <w:r w:rsidR="0036640A" w:rsidRPr="00EC755A">
        <w:rPr>
          <w:rFonts w:ascii="Times New Roman" w:hAnsi="Times New Roman"/>
          <w:sz w:val="24"/>
          <w:szCs w:val="24"/>
        </w:rPr>
        <w:t xml:space="preserve">ok otplate kredita </w:t>
      </w:r>
      <w:r w:rsidRPr="00EC755A">
        <w:rPr>
          <w:rFonts w:ascii="Times New Roman" w:hAnsi="Times New Roman"/>
          <w:sz w:val="24"/>
          <w:szCs w:val="24"/>
        </w:rPr>
        <w:t>je</w:t>
      </w:r>
      <w:r w:rsidR="0036640A" w:rsidRPr="00EC755A">
        <w:rPr>
          <w:rFonts w:ascii="Times New Roman" w:hAnsi="Times New Roman"/>
          <w:sz w:val="24"/>
          <w:szCs w:val="24"/>
        </w:rPr>
        <w:t xml:space="preserve"> 10 godina, uz poček od dvije godine, u </w:t>
      </w:r>
      <w:r w:rsidRPr="00EC755A">
        <w:rPr>
          <w:rFonts w:ascii="Times New Roman" w:hAnsi="Times New Roman"/>
          <w:sz w:val="24"/>
          <w:szCs w:val="24"/>
        </w:rPr>
        <w:t xml:space="preserve">40 </w:t>
      </w:r>
      <w:r w:rsidR="0036640A" w:rsidRPr="00EC755A">
        <w:rPr>
          <w:rFonts w:ascii="Times New Roman" w:hAnsi="Times New Roman"/>
          <w:sz w:val="24"/>
          <w:szCs w:val="24"/>
        </w:rPr>
        <w:t>jednaki</w:t>
      </w:r>
      <w:r w:rsidRPr="00EC755A">
        <w:rPr>
          <w:rFonts w:ascii="Times New Roman" w:hAnsi="Times New Roman"/>
          <w:sz w:val="24"/>
          <w:szCs w:val="24"/>
        </w:rPr>
        <w:t>h uzastopnih</w:t>
      </w:r>
      <w:r w:rsidR="0036640A" w:rsidRPr="00EC755A">
        <w:rPr>
          <w:rFonts w:ascii="Times New Roman" w:hAnsi="Times New Roman"/>
          <w:sz w:val="24"/>
          <w:szCs w:val="24"/>
        </w:rPr>
        <w:t xml:space="preserve"> tromjesečni</w:t>
      </w:r>
      <w:r w:rsidRPr="00EC755A">
        <w:rPr>
          <w:rFonts w:ascii="Times New Roman" w:hAnsi="Times New Roman"/>
          <w:sz w:val="24"/>
          <w:szCs w:val="24"/>
        </w:rPr>
        <w:t>h</w:t>
      </w:r>
      <w:r w:rsidR="0036640A" w:rsidRPr="00EC755A">
        <w:rPr>
          <w:rFonts w:ascii="Times New Roman" w:hAnsi="Times New Roman"/>
          <w:sz w:val="24"/>
          <w:szCs w:val="24"/>
        </w:rPr>
        <w:t xml:space="preserve"> rata,</w:t>
      </w:r>
      <w:r w:rsidRPr="00EC755A">
        <w:rPr>
          <w:rFonts w:ascii="Times New Roman" w:hAnsi="Times New Roman"/>
          <w:sz w:val="24"/>
          <w:szCs w:val="24"/>
        </w:rPr>
        <w:t xml:space="preserve"> od kojih prva dospijeva na naplatu 01. travnja 2024. godine, a zadnja 01. siječnja 2034. godine.</w:t>
      </w:r>
      <w:r w:rsidR="0036640A" w:rsidRPr="00EC755A">
        <w:rPr>
          <w:rFonts w:ascii="Times New Roman" w:hAnsi="Times New Roman"/>
          <w:sz w:val="24"/>
          <w:szCs w:val="24"/>
        </w:rPr>
        <w:t xml:space="preserve"> </w:t>
      </w:r>
    </w:p>
    <w:p w:rsidR="003E1307" w:rsidRPr="00EC755A" w:rsidRDefault="003E1307" w:rsidP="003E1307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</w:p>
    <w:p w:rsidR="003E1307" w:rsidRPr="00EC755A" w:rsidRDefault="003E1307" w:rsidP="003E1307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  <w:r w:rsidRPr="00EC755A">
        <w:rPr>
          <w:rFonts w:ascii="Times New Roman" w:hAnsi="Times New Roman"/>
          <w:sz w:val="24"/>
          <w:szCs w:val="24"/>
        </w:rPr>
        <w:t>Kamatna stopa:</w:t>
      </w:r>
    </w:p>
    <w:p w:rsidR="003E1307" w:rsidRPr="00EC755A" w:rsidRDefault="003E1307" w:rsidP="003E1307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</w:p>
    <w:p w:rsidR="00693853" w:rsidRPr="00EC755A" w:rsidRDefault="00BF5E2C" w:rsidP="0069385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C755A">
        <w:rPr>
          <w:rFonts w:ascii="Times New Roman" w:hAnsi="Times New Roman"/>
          <w:sz w:val="24"/>
          <w:szCs w:val="24"/>
        </w:rPr>
        <w:t>r</w:t>
      </w:r>
      <w:r w:rsidR="003E1307" w:rsidRPr="00EC755A">
        <w:rPr>
          <w:rFonts w:ascii="Times New Roman" w:hAnsi="Times New Roman"/>
          <w:sz w:val="24"/>
          <w:szCs w:val="24"/>
        </w:rPr>
        <w:t xml:space="preserve">edovna: </w:t>
      </w:r>
      <w:r w:rsidR="0052324C" w:rsidRPr="00EC755A">
        <w:rPr>
          <w:rFonts w:ascii="Times New Roman" w:hAnsi="Times New Roman"/>
          <w:sz w:val="24"/>
          <w:szCs w:val="24"/>
        </w:rPr>
        <w:t xml:space="preserve">fiksna u iznosu </w:t>
      </w:r>
      <w:r w:rsidR="0036640A" w:rsidRPr="00EC755A">
        <w:rPr>
          <w:rFonts w:ascii="Times New Roman" w:hAnsi="Times New Roman"/>
          <w:sz w:val="24"/>
          <w:szCs w:val="24"/>
        </w:rPr>
        <w:t xml:space="preserve">1,30% </w:t>
      </w:r>
      <w:r w:rsidR="003E1307" w:rsidRPr="00EC755A">
        <w:rPr>
          <w:rFonts w:ascii="Times New Roman" w:hAnsi="Times New Roman"/>
          <w:sz w:val="24"/>
          <w:szCs w:val="24"/>
        </w:rPr>
        <w:t>godišnj</w:t>
      </w:r>
      <w:r w:rsidR="0052324C" w:rsidRPr="00EC755A">
        <w:rPr>
          <w:rFonts w:ascii="Times New Roman" w:hAnsi="Times New Roman"/>
          <w:sz w:val="24"/>
          <w:szCs w:val="24"/>
        </w:rPr>
        <w:t xml:space="preserve">e </w:t>
      </w:r>
      <w:r w:rsidR="003E1307" w:rsidRPr="00EC755A">
        <w:rPr>
          <w:rFonts w:ascii="Times New Roman" w:hAnsi="Times New Roman"/>
          <w:sz w:val="24"/>
          <w:szCs w:val="24"/>
        </w:rPr>
        <w:t>na iskorišteni iznos kredita, a obračunava se i naplaćuje tromjesečno</w:t>
      </w:r>
      <w:r w:rsidR="00693853" w:rsidRPr="00EC755A">
        <w:rPr>
          <w:rFonts w:ascii="Times New Roman" w:hAnsi="Times New Roman"/>
          <w:sz w:val="24"/>
          <w:szCs w:val="24"/>
        </w:rPr>
        <w:t xml:space="preserve"> (u razdoblju počeka i otplate kredita).</w:t>
      </w:r>
    </w:p>
    <w:p w:rsidR="0095050C" w:rsidRPr="00EC755A" w:rsidRDefault="00BF5E2C" w:rsidP="00693853">
      <w:pPr>
        <w:pStyle w:val="ListParagraph"/>
        <w:ind w:left="1428"/>
        <w:jc w:val="both"/>
        <w:rPr>
          <w:rFonts w:ascii="Times New Roman" w:hAnsi="Times New Roman"/>
          <w:sz w:val="24"/>
          <w:szCs w:val="24"/>
        </w:rPr>
      </w:pPr>
      <w:r w:rsidRPr="00EC755A">
        <w:rPr>
          <w:rFonts w:ascii="Times New Roman" w:hAnsi="Times New Roman"/>
          <w:sz w:val="24"/>
          <w:szCs w:val="24"/>
        </w:rPr>
        <w:t>Na obračun se primjenjuje proporcionalna metoda obračuna prema kojoj godina ima 365/366 dana, a dani u mjesecima obračunavaju se prema kalendar</w:t>
      </w:r>
      <w:r w:rsidR="0095050C" w:rsidRPr="00EC755A">
        <w:rPr>
          <w:rFonts w:ascii="Times New Roman" w:hAnsi="Times New Roman"/>
          <w:sz w:val="24"/>
          <w:szCs w:val="24"/>
        </w:rPr>
        <w:t>u,</w:t>
      </w:r>
    </w:p>
    <w:p w:rsidR="0095050C" w:rsidRPr="00EC755A" w:rsidRDefault="0095050C" w:rsidP="0095050C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</w:p>
    <w:p w:rsidR="0095050C" w:rsidRPr="00EC755A" w:rsidRDefault="00BF5E2C" w:rsidP="0095050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C755A">
        <w:rPr>
          <w:rFonts w:ascii="Times New Roman" w:hAnsi="Times New Roman"/>
          <w:sz w:val="24"/>
          <w:szCs w:val="24"/>
        </w:rPr>
        <w:t>interkalarna: u razdoblju korištenja na iskorišteni iznos kredita obračunava se i naplaćuje kvartalno i na zadnji dan razdoblja korištenja u visini redovne,</w:t>
      </w:r>
    </w:p>
    <w:p w:rsidR="0095050C" w:rsidRPr="00EC755A" w:rsidRDefault="0095050C" w:rsidP="0095050C">
      <w:pPr>
        <w:pStyle w:val="ListParagraph"/>
        <w:ind w:left="1428"/>
        <w:jc w:val="both"/>
        <w:rPr>
          <w:rFonts w:ascii="Times New Roman" w:hAnsi="Times New Roman"/>
          <w:sz w:val="24"/>
          <w:szCs w:val="24"/>
        </w:rPr>
      </w:pPr>
    </w:p>
    <w:p w:rsidR="00645E11" w:rsidRPr="00EC755A" w:rsidRDefault="00BF5E2C" w:rsidP="0095050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C755A">
        <w:rPr>
          <w:rFonts w:ascii="Times New Roman" w:hAnsi="Times New Roman"/>
          <w:sz w:val="24"/>
          <w:szCs w:val="24"/>
        </w:rPr>
        <w:t>zatezna</w:t>
      </w:r>
      <w:r w:rsidR="007E10AB" w:rsidRPr="00EC755A">
        <w:rPr>
          <w:rFonts w:ascii="Times New Roman" w:hAnsi="Times New Roman"/>
          <w:sz w:val="24"/>
          <w:szCs w:val="24"/>
        </w:rPr>
        <w:t>:</w:t>
      </w:r>
      <w:r w:rsidRPr="00EC755A">
        <w:rPr>
          <w:rFonts w:ascii="Times New Roman" w:hAnsi="Times New Roman"/>
          <w:sz w:val="24"/>
          <w:szCs w:val="24"/>
        </w:rPr>
        <w:t xml:space="preserve"> </w:t>
      </w:r>
      <w:r w:rsidR="001E564A" w:rsidRPr="00EC755A">
        <w:rPr>
          <w:rFonts w:ascii="Times New Roman" w:hAnsi="Times New Roman"/>
          <w:sz w:val="24"/>
          <w:szCs w:val="24"/>
        </w:rPr>
        <w:t>u</w:t>
      </w:r>
      <w:r w:rsidRPr="00EC755A">
        <w:rPr>
          <w:rFonts w:ascii="Times New Roman" w:hAnsi="Times New Roman"/>
          <w:sz w:val="24"/>
          <w:szCs w:val="24"/>
        </w:rPr>
        <w:t xml:space="preserve"> vi</w:t>
      </w:r>
      <w:r w:rsidR="00645E11" w:rsidRPr="00EC755A">
        <w:rPr>
          <w:rFonts w:ascii="Times New Roman" w:hAnsi="Times New Roman"/>
          <w:sz w:val="24"/>
          <w:szCs w:val="24"/>
        </w:rPr>
        <w:t>si</w:t>
      </w:r>
      <w:r w:rsidRPr="00EC755A">
        <w:rPr>
          <w:rFonts w:ascii="Times New Roman" w:hAnsi="Times New Roman"/>
          <w:sz w:val="24"/>
          <w:szCs w:val="24"/>
        </w:rPr>
        <w:t>ni stope zakonskih zateznih kamata, promjenjiva.</w:t>
      </w:r>
    </w:p>
    <w:p w:rsidR="00645E11" w:rsidRPr="00EC755A" w:rsidRDefault="00645E11" w:rsidP="00645E11">
      <w:pPr>
        <w:pStyle w:val="ListParagraph"/>
        <w:rPr>
          <w:rFonts w:ascii="Times New Roman" w:hAnsi="Times New Roman"/>
          <w:sz w:val="24"/>
          <w:szCs w:val="24"/>
        </w:rPr>
      </w:pPr>
    </w:p>
    <w:p w:rsidR="00820D3C" w:rsidRPr="00EC755A" w:rsidRDefault="007A1498" w:rsidP="00820D3C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  <w:r w:rsidRPr="00EC755A">
        <w:rPr>
          <w:rFonts w:ascii="Times New Roman" w:hAnsi="Times New Roman"/>
          <w:sz w:val="24"/>
          <w:szCs w:val="24"/>
        </w:rPr>
        <w:t>Naknada za obradu zahtjeva se naplaćuje jednokratno</w:t>
      </w:r>
      <w:r w:rsidR="00A94B34" w:rsidRPr="00EC755A">
        <w:rPr>
          <w:rFonts w:ascii="Times New Roman" w:hAnsi="Times New Roman"/>
          <w:sz w:val="24"/>
          <w:szCs w:val="24"/>
        </w:rPr>
        <w:t xml:space="preserve"> u</w:t>
      </w:r>
      <w:r w:rsidR="0036640A" w:rsidRPr="00EC755A">
        <w:rPr>
          <w:rFonts w:ascii="Times New Roman" w:hAnsi="Times New Roman"/>
          <w:sz w:val="24"/>
          <w:szCs w:val="24"/>
        </w:rPr>
        <w:t xml:space="preserve"> visini 0,35% </w:t>
      </w:r>
      <w:r w:rsidRPr="00EC755A">
        <w:rPr>
          <w:rFonts w:ascii="Times New Roman" w:hAnsi="Times New Roman"/>
          <w:sz w:val="24"/>
          <w:szCs w:val="24"/>
        </w:rPr>
        <w:t>na iznos odobrenog</w:t>
      </w:r>
      <w:r w:rsidR="0036640A" w:rsidRPr="00EC755A">
        <w:rPr>
          <w:rFonts w:ascii="Times New Roman" w:hAnsi="Times New Roman"/>
          <w:sz w:val="24"/>
          <w:szCs w:val="24"/>
        </w:rPr>
        <w:t xml:space="preserve"> kredita</w:t>
      </w:r>
      <w:r w:rsidRPr="00EC755A">
        <w:rPr>
          <w:rFonts w:ascii="Times New Roman" w:hAnsi="Times New Roman"/>
          <w:sz w:val="24"/>
          <w:szCs w:val="24"/>
        </w:rPr>
        <w:t>,</w:t>
      </w:r>
      <w:r w:rsidR="00A94B34" w:rsidRPr="00EC755A">
        <w:rPr>
          <w:rFonts w:ascii="Times New Roman" w:hAnsi="Times New Roman"/>
          <w:sz w:val="24"/>
          <w:szCs w:val="24"/>
        </w:rPr>
        <w:t xml:space="preserve"> odnosno u iznosu 96.250,00 kn,</w:t>
      </w:r>
      <w:r w:rsidRPr="00EC755A">
        <w:rPr>
          <w:rFonts w:ascii="Times New Roman" w:hAnsi="Times New Roman"/>
          <w:sz w:val="24"/>
          <w:szCs w:val="24"/>
        </w:rPr>
        <w:t xml:space="preserve"> a naplaćuje se prije ili istovremeno s prvim korištenjem</w:t>
      </w:r>
      <w:r w:rsidR="00F41BED" w:rsidRPr="00EC755A">
        <w:rPr>
          <w:rFonts w:ascii="Times New Roman" w:hAnsi="Times New Roman"/>
          <w:sz w:val="24"/>
          <w:szCs w:val="24"/>
        </w:rPr>
        <w:t xml:space="preserve"> kredita.</w:t>
      </w:r>
      <w:r w:rsidR="0033042C" w:rsidRPr="00EC755A">
        <w:rPr>
          <w:rFonts w:ascii="Times New Roman" w:hAnsi="Times New Roman"/>
          <w:sz w:val="24"/>
          <w:szCs w:val="24"/>
        </w:rPr>
        <w:t xml:space="preserve"> </w:t>
      </w:r>
      <w:r w:rsidR="00F41BED" w:rsidRPr="00EC755A">
        <w:rPr>
          <w:rFonts w:ascii="Times New Roman" w:hAnsi="Times New Roman"/>
          <w:sz w:val="24"/>
          <w:szCs w:val="24"/>
        </w:rPr>
        <w:t>D</w:t>
      </w:r>
      <w:r w:rsidR="0033042C" w:rsidRPr="00EC755A">
        <w:rPr>
          <w:rFonts w:ascii="Times New Roman" w:hAnsi="Times New Roman"/>
          <w:sz w:val="24"/>
          <w:szCs w:val="24"/>
        </w:rPr>
        <w:t>o datuma 31. prosinca 2020. godine nije bilo</w:t>
      </w:r>
      <w:r w:rsidR="00F41BED" w:rsidRPr="00EC755A">
        <w:rPr>
          <w:rFonts w:ascii="Times New Roman" w:hAnsi="Times New Roman"/>
          <w:sz w:val="24"/>
          <w:szCs w:val="24"/>
        </w:rPr>
        <w:t xml:space="preserve"> korištenja kredita pa je saldo po osnovi obveza dugoročnog kredita 0,00 kn.</w:t>
      </w:r>
    </w:p>
    <w:p w:rsidR="008466D5" w:rsidRPr="00EC755A" w:rsidRDefault="00ED09A5" w:rsidP="00820D3C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  <w:r w:rsidRPr="00EC755A">
        <w:rPr>
          <w:rFonts w:ascii="Times New Roman" w:hAnsi="Times New Roman"/>
          <w:sz w:val="24"/>
          <w:szCs w:val="24"/>
        </w:rPr>
        <w:t>Naknada za r</w:t>
      </w:r>
      <w:r w:rsidR="008466D5" w:rsidRPr="00EC755A">
        <w:rPr>
          <w:rFonts w:ascii="Times New Roman" w:hAnsi="Times New Roman"/>
          <w:sz w:val="24"/>
          <w:szCs w:val="24"/>
        </w:rPr>
        <w:t>ezervacij</w:t>
      </w:r>
      <w:r w:rsidRPr="00EC755A">
        <w:rPr>
          <w:rFonts w:ascii="Times New Roman" w:hAnsi="Times New Roman"/>
          <w:sz w:val="24"/>
          <w:szCs w:val="24"/>
        </w:rPr>
        <w:t>u</w:t>
      </w:r>
      <w:r w:rsidR="008466D5" w:rsidRPr="00EC755A">
        <w:rPr>
          <w:rFonts w:ascii="Times New Roman" w:hAnsi="Times New Roman"/>
          <w:sz w:val="24"/>
          <w:szCs w:val="24"/>
        </w:rPr>
        <w:t xml:space="preserve"> sredstava na neiskorišteni iznos kredita nije se, po Ugovoru, obračunala niti naplatila</w:t>
      </w:r>
      <w:r w:rsidRPr="00EC755A">
        <w:rPr>
          <w:rFonts w:ascii="Times New Roman" w:hAnsi="Times New Roman"/>
          <w:sz w:val="24"/>
          <w:szCs w:val="24"/>
        </w:rPr>
        <w:t>.</w:t>
      </w:r>
    </w:p>
    <w:p w:rsidR="008466D5" w:rsidRPr="00EC755A" w:rsidRDefault="00ED09A5" w:rsidP="00FF2967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  <w:r w:rsidRPr="00EC755A">
        <w:rPr>
          <w:rFonts w:ascii="Times New Roman" w:hAnsi="Times New Roman"/>
          <w:sz w:val="24"/>
          <w:szCs w:val="24"/>
        </w:rPr>
        <w:t>Naknade za prijevremenu otplatu zajma se ne obračunavaju.</w:t>
      </w:r>
    </w:p>
    <w:p w:rsidR="008466D5" w:rsidRPr="00ED09A5" w:rsidRDefault="008466D5" w:rsidP="00FF2967">
      <w:pPr>
        <w:pStyle w:val="ListParagraph"/>
        <w:ind w:left="106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A41AD" w:rsidRPr="00EC755A" w:rsidRDefault="00FF2967" w:rsidP="00FF2967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  <w:r w:rsidRPr="00EC755A">
        <w:rPr>
          <w:rFonts w:ascii="Times New Roman" w:hAnsi="Times New Roman"/>
          <w:sz w:val="24"/>
          <w:szCs w:val="24"/>
        </w:rPr>
        <w:lastRenderedPageBreak/>
        <w:t>Rok korištenja kredita je do 31. prosinca 2021. godine. Isplata kredita vrši se sukcesivno isplatom na račune dobavljača/izvođača na temelju dokumentacije za namjensko korištenje kredita i pripadajućeg PDV-a na račun Državnog proračuna</w:t>
      </w:r>
      <w:r w:rsidR="000E4799" w:rsidRPr="00EC755A">
        <w:rPr>
          <w:rFonts w:ascii="Times New Roman" w:hAnsi="Times New Roman"/>
          <w:sz w:val="24"/>
          <w:szCs w:val="24"/>
        </w:rPr>
        <w:t>.</w:t>
      </w:r>
    </w:p>
    <w:p w:rsidR="000A41AD" w:rsidRDefault="00070821" w:rsidP="003363DC">
      <w:pPr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Iznosi otplata po dugoročnom kreditu Hrvatske poštanske banke d.d., Zagreb  raspoređeni prema dospijeću u narednim godinama po dostavljenom otplatnom planu u kunama:</w:t>
      </w:r>
    </w:p>
    <w:p w:rsidR="008B6F0C" w:rsidRDefault="008B6F0C" w:rsidP="008B6F0C">
      <w:pPr>
        <w:rPr>
          <w:rFonts w:ascii="Times New Roman" w:hAnsi="Times New Roman"/>
          <w:sz w:val="24"/>
          <w:szCs w:val="24"/>
        </w:rPr>
      </w:pPr>
    </w:p>
    <w:tbl>
      <w:tblPr>
        <w:tblW w:w="8840" w:type="dxa"/>
        <w:tblInd w:w="1101" w:type="dxa"/>
        <w:tblLook w:val="04A0"/>
      </w:tblPr>
      <w:tblGrid>
        <w:gridCol w:w="2690"/>
        <w:gridCol w:w="1802"/>
        <w:gridCol w:w="1517"/>
        <w:gridCol w:w="2831"/>
      </w:tblGrid>
      <w:tr w:rsidR="008B6F0C" w:rsidRPr="009879C0" w:rsidTr="009121FA">
        <w:trPr>
          <w:trHeight w:val="30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6F0C" w:rsidRPr="009879C0" w:rsidRDefault="008B6F0C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HRVATSKA POŠTANSKA BANKA - 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DUGOROČNI KREDIT</w:t>
            </w:r>
          </w:p>
        </w:tc>
      </w:tr>
      <w:tr w:rsidR="008B6F0C" w:rsidRPr="009879C0" w:rsidTr="009121FA">
        <w:trPr>
          <w:trHeight w:val="30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6F0C" w:rsidRPr="009879C0" w:rsidRDefault="008B6F0C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UGOVORENI IZNOS KREDITA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00.000,00 KN</w:t>
            </w:r>
          </w:p>
        </w:tc>
      </w:tr>
      <w:tr w:rsidR="008B6F0C" w:rsidRPr="009879C0" w:rsidTr="009121FA">
        <w:trPr>
          <w:trHeight w:val="30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0C" w:rsidRPr="00DD594E" w:rsidRDefault="008B6F0C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K</w:t>
            </w:r>
            <w:r w:rsidRPr="00DD59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apitaln</w:t>
            </w:r>
            <w:r w:rsidR="00B352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e investicije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i EU</w:t>
            </w:r>
            <w:r w:rsidRPr="00DD59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projekti</w:t>
            </w:r>
          </w:p>
        </w:tc>
      </w:tr>
      <w:tr w:rsidR="008B6F0C" w:rsidRPr="009879C0" w:rsidTr="009121FA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0C" w:rsidRPr="009879C0" w:rsidRDefault="008B6F0C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DOSPIJEĆE/GODINA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0C" w:rsidRPr="009879C0" w:rsidRDefault="008B6F0C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GLAVNICA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0C" w:rsidRPr="009879C0" w:rsidRDefault="008B6F0C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KAMATA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0C" w:rsidRPr="009879C0" w:rsidRDefault="008B6F0C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OTPLATNA RATA</w:t>
            </w:r>
          </w:p>
        </w:tc>
      </w:tr>
      <w:tr w:rsidR="008B6F0C" w:rsidRPr="009879C0" w:rsidTr="00ED6C0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0C" w:rsidRPr="009879C0" w:rsidRDefault="008B6F0C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ED6C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BF696D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2.062.500,00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3020B9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260.921,28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3020B9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2.323.421,28</w:t>
            </w:r>
          </w:p>
        </w:tc>
      </w:tr>
      <w:tr w:rsidR="008B6F0C" w:rsidRPr="009879C0" w:rsidTr="00ED6C0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0C" w:rsidRPr="009879C0" w:rsidRDefault="008B6F0C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ED6C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BF696D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2.750.000,00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3020B9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317.043,75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3020B9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3.067.043,75</w:t>
            </w:r>
          </w:p>
        </w:tc>
      </w:tr>
      <w:tr w:rsidR="008B6F0C" w:rsidRPr="009879C0" w:rsidTr="00ED6C0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0C" w:rsidRPr="009879C0" w:rsidRDefault="008B6F0C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ED6C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BF696D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2.750.000,00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D67657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281.519,01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D67657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3.031.519,01</w:t>
            </w:r>
          </w:p>
        </w:tc>
      </w:tr>
      <w:tr w:rsidR="008B6F0C" w:rsidRPr="009879C0" w:rsidTr="00ED6C0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0C" w:rsidRPr="009879C0" w:rsidRDefault="008B6F0C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ED6C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BF696D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2.750.000,00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0D60FD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245.769,00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0D60FD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2.995.769,00</w:t>
            </w:r>
          </w:p>
        </w:tc>
      </w:tr>
      <w:tr w:rsidR="00B123C7" w:rsidRPr="009879C0" w:rsidTr="009121FA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ED6C0F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2028.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BF696D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2.750.000,00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3F1B70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210.183,45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3F1B70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2.960.183,45</w:t>
            </w:r>
          </w:p>
        </w:tc>
      </w:tr>
      <w:tr w:rsidR="00B123C7" w:rsidRPr="009879C0" w:rsidTr="009121FA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ED6C0F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2029.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BF696D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2.750.000,00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2E2906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174.141,16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2E2906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2.924.141,16</w:t>
            </w:r>
          </w:p>
        </w:tc>
      </w:tr>
      <w:tr w:rsidR="00B123C7" w:rsidRPr="009879C0" w:rsidTr="009121FA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ED6C0F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2030.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BF696D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2.750.000,00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E23B84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138.519,01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E23B84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2.888.519,01</w:t>
            </w:r>
          </w:p>
        </w:tc>
      </w:tr>
      <w:tr w:rsidR="00B123C7" w:rsidRPr="009879C0" w:rsidTr="009121FA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ED6C0F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2031.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BF696D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2.750.000,00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8E1E42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102.769,02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8E1E42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2.852.769,02</w:t>
            </w:r>
          </w:p>
        </w:tc>
      </w:tr>
      <w:tr w:rsidR="00B123C7" w:rsidRPr="009879C0" w:rsidTr="009121FA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ED6C0F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2032.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BF696D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2.750.000,00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D240DF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67.086,05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C7" w:rsidRPr="009879C0" w:rsidRDefault="008E1E42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2.817.086,05</w:t>
            </w:r>
          </w:p>
        </w:tc>
      </w:tr>
      <w:tr w:rsidR="00BF696D" w:rsidRPr="009879C0" w:rsidTr="009121FA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96D" w:rsidRDefault="00BF696D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2033.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96D" w:rsidRDefault="007F3877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2.750.000,00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96D" w:rsidRPr="009879C0" w:rsidRDefault="00B8041F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31.238,57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96D" w:rsidRPr="009879C0" w:rsidRDefault="00B8041F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2.781.238,57</w:t>
            </w:r>
          </w:p>
        </w:tc>
      </w:tr>
      <w:tr w:rsidR="008B6F0C" w:rsidRPr="009879C0" w:rsidTr="00ED6C0F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0C" w:rsidRPr="009879C0" w:rsidRDefault="008B6F0C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 w:rsidR="00ED6C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="00BF69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A3056A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7F38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687.500,00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E650A5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2.252,74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0C" w:rsidRPr="009879C0" w:rsidRDefault="00E650A5" w:rsidP="0043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689.752,74</w:t>
            </w:r>
          </w:p>
        </w:tc>
      </w:tr>
    </w:tbl>
    <w:p w:rsidR="008B6F0C" w:rsidRPr="00AA4915" w:rsidRDefault="008B6F0C" w:rsidP="008B6F0C">
      <w:pPr>
        <w:rPr>
          <w:rFonts w:ascii="Times New Roman" w:hAnsi="Times New Roman"/>
          <w:sz w:val="24"/>
          <w:szCs w:val="24"/>
        </w:rPr>
      </w:pPr>
    </w:p>
    <w:p w:rsidR="008B6F0C" w:rsidRDefault="008B6F0C" w:rsidP="00CA3035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</w:p>
    <w:p w:rsidR="00CA3035" w:rsidRPr="00CA3035" w:rsidRDefault="00CA3035" w:rsidP="003B3B3E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  <w:r w:rsidRPr="00CA3035">
        <w:rPr>
          <w:rFonts w:ascii="Times New Roman" w:hAnsi="Times New Roman"/>
          <w:sz w:val="24"/>
          <w:szCs w:val="24"/>
        </w:rPr>
        <w:t>Sukladno čl. 87. Zakona o proračunu, Grad Šibenik je izv</w:t>
      </w:r>
      <w:r w:rsidR="003B3B3E">
        <w:rPr>
          <w:rFonts w:ascii="Times New Roman" w:hAnsi="Times New Roman"/>
          <w:sz w:val="24"/>
          <w:szCs w:val="24"/>
        </w:rPr>
        <w:t>ještavao</w:t>
      </w:r>
      <w:r w:rsidRPr="00CA3035">
        <w:rPr>
          <w:rFonts w:ascii="Times New Roman" w:hAnsi="Times New Roman"/>
          <w:sz w:val="24"/>
          <w:szCs w:val="24"/>
        </w:rPr>
        <w:t xml:space="preserve"> Ministarstvo financija unutar proračunske godine, tromjesečno, do 10. u mjesecu za prethodno izvještajno razdoblje o otplati </w:t>
      </w:r>
      <w:r w:rsidR="003B3B3E">
        <w:rPr>
          <w:rFonts w:ascii="Times New Roman" w:hAnsi="Times New Roman"/>
          <w:sz w:val="24"/>
          <w:szCs w:val="24"/>
        </w:rPr>
        <w:t>kredita/zajmova za koji je Grad dobio suglasnost Vlade za dugoročno zaduženje.</w:t>
      </w:r>
    </w:p>
    <w:p w:rsidR="008B6F0C" w:rsidRDefault="008B6F0C" w:rsidP="00975260">
      <w:pPr>
        <w:jc w:val="both"/>
        <w:rPr>
          <w:rFonts w:ascii="Times New Roman" w:hAnsi="Times New Roman"/>
          <w:sz w:val="24"/>
          <w:szCs w:val="24"/>
        </w:rPr>
      </w:pPr>
    </w:p>
    <w:p w:rsidR="008B6F0C" w:rsidRDefault="008B6F0C" w:rsidP="00975260">
      <w:pPr>
        <w:jc w:val="both"/>
        <w:rPr>
          <w:rFonts w:ascii="Times New Roman" w:hAnsi="Times New Roman"/>
          <w:sz w:val="24"/>
          <w:szCs w:val="24"/>
        </w:rPr>
      </w:pPr>
    </w:p>
    <w:p w:rsidR="000A41AD" w:rsidRDefault="000A41AD" w:rsidP="00975260">
      <w:pPr>
        <w:jc w:val="both"/>
        <w:rPr>
          <w:rFonts w:ascii="Times New Roman" w:hAnsi="Times New Roman"/>
          <w:sz w:val="24"/>
          <w:szCs w:val="24"/>
        </w:rPr>
      </w:pPr>
    </w:p>
    <w:p w:rsidR="00C614E1" w:rsidRPr="00C614E1" w:rsidRDefault="00C614E1" w:rsidP="00D8563C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C614E1">
        <w:rPr>
          <w:rFonts w:ascii="Times New Roman" w:hAnsi="Times New Roman"/>
          <w:sz w:val="24"/>
          <w:szCs w:val="24"/>
        </w:rPr>
        <w:t>Zbog ekonomskih posljedica uzrokovanih pandemijom korona virusa Covid-19 i mjera Vlade RH, koje su uzrokovale odnosno povećale nesrazmjer između dinamike priljeva sredstava i dospijeća obveza, osmišljene su i poduzete mjere pomoći jedinicama lokalne i područne (regionalne) samouprave koje su usmjerene na poboljšanje njihove likvidnosti i učinkovitije upravljanje proračunskim sredstvima. Na</w:t>
      </w:r>
      <w:r w:rsidR="00D8563C">
        <w:rPr>
          <w:rFonts w:ascii="Times New Roman" w:hAnsi="Times New Roman"/>
          <w:sz w:val="24"/>
          <w:szCs w:val="24"/>
        </w:rPr>
        <w:t>i</w:t>
      </w:r>
      <w:r w:rsidRPr="00C614E1">
        <w:rPr>
          <w:rFonts w:ascii="Times New Roman" w:hAnsi="Times New Roman"/>
          <w:sz w:val="24"/>
          <w:szCs w:val="24"/>
        </w:rPr>
        <w:t>me, dopunama Općeg porez</w:t>
      </w:r>
      <w:r w:rsidR="00D8563C">
        <w:rPr>
          <w:rFonts w:ascii="Times New Roman" w:hAnsi="Times New Roman"/>
          <w:sz w:val="24"/>
          <w:szCs w:val="24"/>
        </w:rPr>
        <w:t>nog zakona iz ožujka ove godine</w:t>
      </w:r>
      <w:r w:rsidRPr="00C614E1">
        <w:rPr>
          <w:rFonts w:ascii="Times New Roman" w:hAnsi="Times New Roman"/>
          <w:sz w:val="24"/>
          <w:szCs w:val="24"/>
        </w:rPr>
        <w:t xml:space="preserve"> omogućena je odgoda i /ili obročna otplata nastalih i /ili dospjelih poreznih obveza, u slučaju da posebne okolnosti utječu na mogućnost podmirivanja poreznih obveza. Dopunama istog Zakona iz travnja 2020. uvedena je mogućnost oslobođenja poreznih obveznika u cijelosti ili djelomično, ako im je zbog posebnih okolnosti odlukama nadležnog tijela rad zabranjen odnosno onemogućen ili znatno otežan.</w:t>
      </w:r>
    </w:p>
    <w:p w:rsidR="00625D09" w:rsidRDefault="00625D09" w:rsidP="00A044B8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C614E1" w:rsidRPr="00C614E1" w:rsidRDefault="00C614E1" w:rsidP="00A044B8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C614E1">
        <w:rPr>
          <w:rFonts w:ascii="Times New Roman" w:hAnsi="Times New Roman"/>
          <w:sz w:val="24"/>
          <w:szCs w:val="24"/>
        </w:rPr>
        <w:t>Uz navedene mjere oslobađanja, odgode i /ili obročne otplate poreza i prireza na dohodak, značajno financijsko opterećenje za prihodovnu stranu Proračuna grada Šibenika predstavlja povrat poreza na dohodak i prireza porezu na dohodak po godišnjem obračunu, s obzirom na to da se povrat najvećim dijelom isplaćuje u jednom mjesecu na teret naplaćenih istovrsnih prihoda. Stoga je svim jedinicama dana mogućnost uzimanja beskamatnog zajma do visine poreza na dohodak i prirezu poreza na dohodak čije je plaćanje oslobođeno, odgođeno i/ili je odobrena obročna otplata odnosno do visine izvršenog povrata poreza na dohodak, a u svrhu premošćivanja situacije nastale zbog različite dinamike priljeva sredstava i dospijeća obveza.</w:t>
      </w:r>
    </w:p>
    <w:p w:rsidR="00007873" w:rsidRDefault="00007873" w:rsidP="00A044B8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A293E" w:rsidRDefault="00C614E1" w:rsidP="00A044B8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C614E1">
        <w:rPr>
          <w:rFonts w:ascii="Times New Roman" w:hAnsi="Times New Roman"/>
          <w:sz w:val="24"/>
          <w:szCs w:val="24"/>
        </w:rPr>
        <w:t>Ministar financija donio je Naputak o načinu isplate beskamatnog zajma (</w:t>
      </w:r>
      <w:r w:rsidR="00B046AC">
        <w:rPr>
          <w:rFonts w:ascii="Times New Roman" w:hAnsi="Times New Roman"/>
          <w:sz w:val="24"/>
          <w:szCs w:val="24"/>
        </w:rPr>
        <w:t>„</w:t>
      </w:r>
      <w:r w:rsidRPr="00C614E1">
        <w:rPr>
          <w:rFonts w:ascii="Times New Roman" w:hAnsi="Times New Roman"/>
          <w:sz w:val="24"/>
          <w:szCs w:val="24"/>
        </w:rPr>
        <w:t>N</w:t>
      </w:r>
      <w:r w:rsidR="00B046AC">
        <w:rPr>
          <w:rFonts w:ascii="Times New Roman" w:hAnsi="Times New Roman"/>
          <w:sz w:val="24"/>
          <w:szCs w:val="24"/>
        </w:rPr>
        <w:t xml:space="preserve">arodne novine“, broj </w:t>
      </w:r>
      <w:r w:rsidRPr="00C614E1">
        <w:rPr>
          <w:rFonts w:ascii="Times New Roman" w:hAnsi="Times New Roman"/>
          <w:sz w:val="24"/>
          <w:szCs w:val="24"/>
        </w:rPr>
        <w:t xml:space="preserve">46/20), kojim se propisuje način ostvarivanja prava na beskamatni zajam, sustav izvještavanja te način vođenja evidencija. </w:t>
      </w:r>
    </w:p>
    <w:p w:rsidR="00007873" w:rsidRDefault="00007873" w:rsidP="00A044B8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DD3BCB" w:rsidRPr="0082090D" w:rsidRDefault="00C614E1" w:rsidP="00A044B8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2090D">
        <w:rPr>
          <w:rFonts w:ascii="Times New Roman" w:hAnsi="Times New Roman"/>
          <w:sz w:val="24"/>
          <w:szCs w:val="24"/>
        </w:rPr>
        <w:lastRenderedPageBreak/>
        <w:t xml:space="preserve">Sukladno navedenom, Grad Šibenik je </w:t>
      </w:r>
      <w:r w:rsidR="00774833" w:rsidRPr="0082090D">
        <w:rPr>
          <w:rFonts w:ascii="Times New Roman" w:hAnsi="Times New Roman"/>
          <w:sz w:val="24"/>
          <w:szCs w:val="24"/>
        </w:rPr>
        <w:t>23.</w:t>
      </w:r>
      <w:r w:rsidR="00050D4F" w:rsidRPr="0082090D">
        <w:rPr>
          <w:rFonts w:ascii="Times New Roman" w:hAnsi="Times New Roman"/>
          <w:sz w:val="24"/>
          <w:szCs w:val="24"/>
        </w:rPr>
        <w:t xml:space="preserve"> travnj</w:t>
      </w:r>
      <w:r w:rsidR="00774833" w:rsidRPr="0082090D">
        <w:rPr>
          <w:rFonts w:ascii="Times New Roman" w:hAnsi="Times New Roman"/>
          <w:sz w:val="24"/>
          <w:szCs w:val="24"/>
        </w:rPr>
        <w:t>a</w:t>
      </w:r>
      <w:r w:rsidR="00050D4F" w:rsidRPr="0082090D">
        <w:rPr>
          <w:rFonts w:ascii="Times New Roman" w:hAnsi="Times New Roman"/>
          <w:sz w:val="24"/>
          <w:szCs w:val="24"/>
        </w:rPr>
        <w:t xml:space="preserve"> 2020. godine </w:t>
      </w:r>
      <w:r w:rsidRPr="0082090D">
        <w:rPr>
          <w:rFonts w:ascii="Times New Roman" w:hAnsi="Times New Roman"/>
          <w:sz w:val="24"/>
          <w:szCs w:val="24"/>
        </w:rPr>
        <w:t xml:space="preserve">podnio zahtjev Ministarstvu financija za beskamatni zajam, te je </w:t>
      </w:r>
      <w:r w:rsidR="006F286F" w:rsidRPr="0082090D">
        <w:rPr>
          <w:rFonts w:ascii="Times New Roman" w:hAnsi="Times New Roman"/>
          <w:sz w:val="24"/>
          <w:szCs w:val="24"/>
        </w:rPr>
        <w:t>ukupno</w:t>
      </w:r>
      <w:r w:rsidRPr="0082090D">
        <w:rPr>
          <w:rFonts w:ascii="Times New Roman" w:hAnsi="Times New Roman"/>
          <w:sz w:val="24"/>
          <w:szCs w:val="24"/>
        </w:rPr>
        <w:t xml:space="preserve"> </w:t>
      </w:r>
      <w:r w:rsidR="001E2EB0" w:rsidRPr="0082090D">
        <w:rPr>
          <w:rFonts w:ascii="Times New Roman" w:hAnsi="Times New Roman"/>
          <w:sz w:val="24"/>
          <w:szCs w:val="24"/>
        </w:rPr>
        <w:t xml:space="preserve">do opoziva zahtjeva Ministarstvu financija sa datumom 16. prosinca 2020. godine </w:t>
      </w:r>
      <w:r w:rsidRPr="0082090D">
        <w:rPr>
          <w:rFonts w:ascii="Times New Roman" w:hAnsi="Times New Roman"/>
          <w:sz w:val="24"/>
          <w:szCs w:val="24"/>
        </w:rPr>
        <w:t>iskorišteno 11.</w:t>
      </w:r>
      <w:r w:rsidR="006F286F" w:rsidRPr="0082090D">
        <w:rPr>
          <w:rFonts w:ascii="Times New Roman" w:hAnsi="Times New Roman"/>
          <w:sz w:val="24"/>
          <w:szCs w:val="24"/>
        </w:rPr>
        <w:t>440.833,40</w:t>
      </w:r>
      <w:r w:rsidRPr="0082090D">
        <w:rPr>
          <w:rFonts w:ascii="Times New Roman" w:hAnsi="Times New Roman"/>
          <w:sz w:val="24"/>
          <w:szCs w:val="24"/>
        </w:rPr>
        <w:t xml:space="preserve"> kn, od čega je</w:t>
      </w:r>
      <w:r w:rsidR="006F286F" w:rsidRPr="0082090D">
        <w:rPr>
          <w:rFonts w:ascii="Times New Roman" w:hAnsi="Times New Roman"/>
          <w:sz w:val="24"/>
          <w:szCs w:val="24"/>
        </w:rPr>
        <w:t xml:space="preserve"> otplaćeno 2.608.511,52 kn pa ukupna obveza po navedenoj osnovi</w:t>
      </w:r>
      <w:r w:rsidRPr="0082090D">
        <w:rPr>
          <w:rFonts w:ascii="Times New Roman" w:hAnsi="Times New Roman"/>
          <w:sz w:val="24"/>
          <w:szCs w:val="24"/>
        </w:rPr>
        <w:t xml:space="preserve"> </w:t>
      </w:r>
      <w:r w:rsidR="006F286F" w:rsidRPr="0082090D">
        <w:rPr>
          <w:rFonts w:ascii="Times New Roman" w:hAnsi="Times New Roman"/>
          <w:sz w:val="24"/>
          <w:szCs w:val="24"/>
        </w:rPr>
        <w:t>na datum 31. prosinca 2020. godine iznosi 8.832.321,88</w:t>
      </w:r>
      <w:r w:rsidRPr="0082090D">
        <w:rPr>
          <w:rFonts w:ascii="Times New Roman" w:hAnsi="Times New Roman"/>
          <w:sz w:val="24"/>
          <w:szCs w:val="24"/>
        </w:rPr>
        <w:t xml:space="preserve"> kn</w:t>
      </w:r>
      <w:r w:rsidR="006F286F" w:rsidRPr="0082090D">
        <w:rPr>
          <w:rFonts w:ascii="Times New Roman" w:hAnsi="Times New Roman"/>
          <w:sz w:val="24"/>
          <w:szCs w:val="24"/>
        </w:rPr>
        <w:t>.</w:t>
      </w:r>
      <w:r w:rsidRPr="0082090D">
        <w:rPr>
          <w:rFonts w:ascii="Times New Roman" w:hAnsi="Times New Roman"/>
          <w:sz w:val="24"/>
          <w:szCs w:val="24"/>
        </w:rPr>
        <w:t xml:space="preserve"> </w:t>
      </w:r>
    </w:p>
    <w:p w:rsidR="00E21185" w:rsidRDefault="006F286F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2090D">
        <w:rPr>
          <w:rFonts w:ascii="Times New Roman" w:hAnsi="Times New Roman"/>
          <w:sz w:val="24"/>
          <w:szCs w:val="24"/>
        </w:rPr>
        <w:t xml:space="preserve">Saldo po osnovi beskamatnog kratkoročnog zajma obuhvaća obvezu </w:t>
      </w:r>
      <w:r w:rsidR="00C614E1" w:rsidRPr="0082090D">
        <w:rPr>
          <w:rFonts w:ascii="Times New Roman" w:hAnsi="Times New Roman"/>
          <w:sz w:val="24"/>
          <w:szCs w:val="24"/>
        </w:rPr>
        <w:t>po osnovi povrata poreza na dohodak po godišnjoj prijavi</w:t>
      </w:r>
      <w:r w:rsidRPr="0082090D">
        <w:rPr>
          <w:rFonts w:ascii="Times New Roman" w:hAnsi="Times New Roman"/>
          <w:sz w:val="24"/>
          <w:szCs w:val="24"/>
        </w:rPr>
        <w:t xml:space="preserve"> u iznosu 7.077.710,49</w:t>
      </w:r>
      <w:r w:rsidR="00D8563C">
        <w:rPr>
          <w:rFonts w:ascii="Times New Roman" w:hAnsi="Times New Roman"/>
          <w:sz w:val="24"/>
          <w:szCs w:val="24"/>
        </w:rPr>
        <w:t xml:space="preserve"> </w:t>
      </w:r>
      <w:r w:rsidRPr="0082090D">
        <w:rPr>
          <w:rFonts w:ascii="Times New Roman" w:hAnsi="Times New Roman"/>
          <w:sz w:val="24"/>
          <w:szCs w:val="24"/>
        </w:rPr>
        <w:t xml:space="preserve">kn </w:t>
      </w:r>
      <w:r w:rsidR="00C614E1" w:rsidRPr="0082090D">
        <w:rPr>
          <w:rFonts w:ascii="Times New Roman" w:hAnsi="Times New Roman"/>
          <w:sz w:val="24"/>
          <w:szCs w:val="24"/>
        </w:rPr>
        <w:t xml:space="preserve">, a </w:t>
      </w:r>
      <w:r w:rsidRPr="0082090D">
        <w:rPr>
          <w:rFonts w:ascii="Times New Roman" w:hAnsi="Times New Roman"/>
          <w:sz w:val="24"/>
          <w:szCs w:val="24"/>
        </w:rPr>
        <w:t>iznos od 1.754.611,39</w:t>
      </w:r>
      <w:r w:rsidR="00BA293E" w:rsidRPr="0082090D">
        <w:rPr>
          <w:rFonts w:ascii="Times New Roman" w:hAnsi="Times New Roman"/>
          <w:sz w:val="24"/>
          <w:szCs w:val="24"/>
        </w:rPr>
        <w:t xml:space="preserve"> </w:t>
      </w:r>
      <w:r w:rsidR="00C614E1" w:rsidRPr="0082090D">
        <w:rPr>
          <w:rFonts w:ascii="Times New Roman" w:hAnsi="Times New Roman"/>
          <w:sz w:val="24"/>
          <w:szCs w:val="24"/>
        </w:rPr>
        <w:t xml:space="preserve">kn </w:t>
      </w:r>
      <w:r w:rsidRPr="0082090D">
        <w:rPr>
          <w:rFonts w:ascii="Times New Roman" w:hAnsi="Times New Roman"/>
          <w:sz w:val="24"/>
          <w:szCs w:val="24"/>
        </w:rPr>
        <w:t xml:space="preserve">se odnosi na obvezu </w:t>
      </w:r>
      <w:r w:rsidR="00C614E1" w:rsidRPr="0082090D">
        <w:rPr>
          <w:rFonts w:ascii="Times New Roman" w:hAnsi="Times New Roman"/>
          <w:sz w:val="24"/>
          <w:szCs w:val="24"/>
        </w:rPr>
        <w:t xml:space="preserve">po osnovi odgode poreza na dohodak. </w:t>
      </w:r>
    </w:p>
    <w:p w:rsidR="00E21185" w:rsidRDefault="00E21185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E21185" w:rsidRPr="00E453F3" w:rsidRDefault="00C614E1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F45DBC">
        <w:rPr>
          <w:rFonts w:ascii="Times New Roman" w:hAnsi="Times New Roman"/>
          <w:sz w:val="24"/>
          <w:szCs w:val="24"/>
        </w:rPr>
        <w:t xml:space="preserve">Mogućnost otplate zajma je najduže godinu dana, a </w:t>
      </w:r>
      <w:r w:rsidR="00E21185">
        <w:rPr>
          <w:rFonts w:ascii="Times New Roman" w:hAnsi="Times New Roman"/>
          <w:sz w:val="24"/>
          <w:szCs w:val="24"/>
        </w:rPr>
        <w:t>u</w:t>
      </w:r>
      <w:r w:rsidR="00E21185" w:rsidRPr="00E453F3">
        <w:rPr>
          <w:rFonts w:ascii="Times New Roman" w:hAnsi="Times New Roman"/>
          <w:sz w:val="24"/>
          <w:szCs w:val="24"/>
        </w:rPr>
        <w:t xml:space="preserve"> skladu s Pravilnikom o proračunskom </w:t>
      </w:r>
      <w:r w:rsidR="00E21185">
        <w:rPr>
          <w:rFonts w:ascii="Times New Roman" w:hAnsi="Times New Roman"/>
          <w:sz w:val="24"/>
          <w:szCs w:val="24"/>
        </w:rPr>
        <w:t>računovodstvu i Računskom planu</w:t>
      </w:r>
      <w:r w:rsidR="00E21185" w:rsidRPr="00E453F3">
        <w:rPr>
          <w:rFonts w:ascii="Times New Roman" w:hAnsi="Times New Roman"/>
          <w:sz w:val="24"/>
          <w:szCs w:val="24"/>
        </w:rPr>
        <w:t>, preostali iznos glavnice</w:t>
      </w:r>
      <w:r w:rsidR="00E21185">
        <w:rPr>
          <w:rFonts w:ascii="Times New Roman" w:hAnsi="Times New Roman"/>
          <w:sz w:val="24"/>
          <w:szCs w:val="24"/>
        </w:rPr>
        <w:t xml:space="preserve"> (koji će se vratiti u idućoj proračunskoj godini)</w:t>
      </w:r>
      <w:r w:rsidR="00E21185" w:rsidRPr="00E453F3">
        <w:rPr>
          <w:rFonts w:ascii="Times New Roman" w:hAnsi="Times New Roman"/>
          <w:sz w:val="24"/>
          <w:szCs w:val="24"/>
        </w:rPr>
        <w:t xml:space="preserve"> </w:t>
      </w:r>
      <w:r w:rsidR="00E21185">
        <w:rPr>
          <w:rFonts w:ascii="Times New Roman" w:hAnsi="Times New Roman"/>
          <w:sz w:val="24"/>
          <w:szCs w:val="24"/>
        </w:rPr>
        <w:t>se</w:t>
      </w:r>
      <w:r w:rsidR="00E21185" w:rsidRPr="00E453F3">
        <w:rPr>
          <w:rFonts w:ascii="Times New Roman" w:hAnsi="Times New Roman"/>
          <w:sz w:val="24"/>
          <w:szCs w:val="24"/>
        </w:rPr>
        <w:t xml:space="preserve"> evidentira</w:t>
      </w:r>
      <w:r w:rsidR="00E21185">
        <w:rPr>
          <w:rFonts w:ascii="Times New Roman" w:hAnsi="Times New Roman"/>
          <w:sz w:val="24"/>
          <w:szCs w:val="24"/>
        </w:rPr>
        <w:t>o kao</w:t>
      </w:r>
      <w:r w:rsidR="00E21185" w:rsidRPr="00E453F3">
        <w:rPr>
          <w:rFonts w:ascii="Times New Roman" w:hAnsi="Times New Roman"/>
          <w:sz w:val="24"/>
          <w:szCs w:val="24"/>
        </w:rPr>
        <w:t xml:space="preserve"> primit</w:t>
      </w:r>
      <w:r w:rsidR="00E21185">
        <w:rPr>
          <w:rFonts w:ascii="Times New Roman" w:hAnsi="Times New Roman"/>
          <w:sz w:val="24"/>
          <w:szCs w:val="24"/>
        </w:rPr>
        <w:t>ak</w:t>
      </w:r>
      <w:r w:rsidR="00E21185" w:rsidRPr="00E453F3">
        <w:rPr>
          <w:rFonts w:ascii="Times New Roman" w:hAnsi="Times New Roman"/>
          <w:sz w:val="24"/>
          <w:szCs w:val="24"/>
        </w:rPr>
        <w:t xml:space="preserve"> od zaduživanja (odobrenjem računa 84711</w:t>
      </w:r>
      <w:r w:rsidR="00E21185">
        <w:rPr>
          <w:rFonts w:ascii="Times New Roman" w:hAnsi="Times New Roman"/>
          <w:sz w:val="24"/>
          <w:szCs w:val="24"/>
        </w:rPr>
        <w:t xml:space="preserve"> </w:t>
      </w:r>
      <w:r w:rsidR="00E21185" w:rsidRPr="00E453F3">
        <w:rPr>
          <w:rFonts w:ascii="Times New Roman" w:hAnsi="Times New Roman"/>
          <w:i/>
          <w:sz w:val="24"/>
          <w:szCs w:val="24"/>
        </w:rPr>
        <w:t>Primljeni zajmovi od državnog proračuna - kratkoročni</w:t>
      </w:r>
      <w:r w:rsidR="00E21185" w:rsidRPr="00E453F3">
        <w:rPr>
          <w:rFonts w:ascii="Times New Roman" w:hAnsi="Times New Roman"/>
          <w:sz w:val="24"/>
          <w:szCs w:val="24"/>
        </w:rPr>
        <w:t xml:space="preserve"> i zaduženjem računa iz podskupine 912</w:t>
      </w:r>
      <w:r w:rsidR="00E21185">
        <w:rPr>
          <w:rFonts w:ascii="Times New Roman" w:hAnsi="Times New Roman"/>
          <w:sz w:val="24"/>
          <w:szCs w:val="24"/>
        </w:rPr>
        <w:t xml:space="preserve"> </w:t>
      </w:r>
      <w:r w:rsidR="00E21185" w:rsidRPr="00E453F3">
        <w:rPr>
          <w:rFonts w:ascii="Times New Roman" w:hAnsi="Times New Roman"/>
          <w:i/>
          <w:sz w:val="24"/>
          <w:szCs w:val="24"/>
        </w:rPr>
        <w:t>Ispravak vlastitih izvora za obveze</w:t>
      </w:r>
      <w:r w:rsidR="00E21185" w:rsidRPr="00E453F3">
        <w:rPr>
          <w:rFonts w:ascii="Times New Roman" w:hAnsi="Times New Roman"/>
          <w:sz w:val="24"/>
          <w:szCs w:val="24"/>
        </w:rPr>
        <w:t>), a u sljedećoj godini evidentira otplatu zajma zaduživanjem računa izdataka za otplatu glavnice u skupini 54</w:t>
      </w:r>
      <w:r w:rsidR="00E21185">
        <w:rPr>
          <w:rFonts w:ascii="Times New Roman" w:hAnsi="Times New Roman"/>
          <w:sz w:val="24"/>
          <w:szCs w:val="24"/>
        </w:rPr>
        <w:t xml:space="preserve"> </w:t>
      </w:r>
      <w:r w:rsidR="00E21185" w:rsidRPr="00E453F3">
        <w:rPr>
          <w:rFonts w:ascii="Times New Roman" w:hAnsi="Times New Roman"/>
          <w:i/>
          <w:sz w:val="24"/>
          <w:szCs w:val="24"/>
        </w:rPr>
        <w:t>Izdaci za otplatu glavnice primljenih kredita i zajmova</w:t>
      </w:r>
      <w:r w:rsidR="00E21185">
        <w:rPr>
          <w:rFonts w:ascii="Times New Roman" w:hAnsi="Times New Roman"/>
          <w:sz w:val="24"/>
          <w:szCs w:val="24"/>
        </w:rPr>
        <w:t xml:space="preserve"> </w:t>
      </w:r>
      <w:r w:rsidR="00E21185" w:rsidRPr="00E453F3">
        <w:rPr>
          <w:rFonts w:ascii="Times New Roman" w:hAnsi="Times New Roman"/>
          <w:sz w:val="24"/>
          <w:szCs w:val="24"/>
        </w:rPr>
        <w:t>i odobrenjem novčanih sredstava te zaduženjem računa obveza u skupini 26</w:t>
      </w:r>
      <w:r w:rsidR="00E21185" w:rsidRPr="00E453F3">
        <w:rPr>
          <w:rFonts w:ascii="Times New Roman" w:hAnsi="Times New Roman"/>
          <w:i/>
          <w:sz w:val="24"/>
          <w:szCs w:val="24"/>
        </w:rPr>
        <w:t xml:space="preserve"> Obveze za kredite i zajmove</w:t>
      </w:r>
      <w:r w:rsidR="00E21185" w:rsidRPr="00E453F3">
        <w:rPr>
          <w:rFonts w:ascii="Times New Roman" w:hAnsi="Times New Roman"/>
          <w:sz w:val="24"/>
          <w:szCs w:val="24"/>
        </w:rPr>
        <w:t xml:space="preserve"> i odobrenjem računa ispravka</w:t>
      </w:r>
      <w:r w:rsidR="00E21185">
        <w:rPr>
          <w:rFonts w:ascii="Times New Roman" w:hAnsi="Times New Roman"/>
          <w:sz w:val="24"/>
          <w:szCs w:val="24"/>
        </w:rPr>
        <w:t xml:space="preserve"> izvora vlasništva u skupini 91 </w:t>
      </w:r>
      <w:r w:rsidR="00E21185" w:rsidRPr="00E453F3">
        <w:rPr>
          <w:rFonts w:ascii="Times New Roman" w:hAnsi="Times New Roman"/>
          <w:i/>
          <w:sz w:val="24"/>
          <w:szCs w:val="24"/>
        </w:rPr>
        <w:t>Vlastiti izvori i ispravak vlastitih izvora</w:t>
      </w:r>
      <w:r w:rsidR="00E21185" w:rsidRPr="00E453F3">
        <w:rPr>
          <w:rFonts w:ascii="Times New Roman" w:hAnsi="Times New Roman"/>
          <w:sz w:val="24"/>
          <w:szCs w:val="24"/>
        </w:rPr>
        <w:t>.</w:t>
      </w:r>
    </w:p>
    <w:p w:rsidR="00E21185" w:rsidRDefault="00E21185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E21185" w:rsidRDefault="00E21185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E21185" w:rsidRDefault="00E21185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E21185" w:rsidRDefault="00E21185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121FA" w:rsidRDefault="009121FA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121FA" w:rsidRDefault="009121FA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121FA" w:rsidRDefault="009121FA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121FA" w:rsidRDefault="009121FA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121FA" w:rsidRDefault="009121FA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121FA" w:rsidRDefault="009121FA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3C3EF9" w:rsidRDefault="003C3EF9" w:rsidP="003C3EF9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  <w:r w:rsidRPr="00813567">
        <w:rPr>
          <w:rFonts w:ascii="Times New Roman" w:hAnsi="Times New Roman"/>
          <w:b/>
          <w:bCs/>
          <w:sz w:val="24"/>
          <w:szCs w:val="24"/>
        </w:rPr>
        <w:lastRenderedPageBreak/>
        <w:t>PRORAČUNSKI KORISNICI</w:t>
      </w:r>
      <w:r w:rsidRPr="009121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MUZEJ GRADA ŠIBENIKA</w:t>
      </w:r>
    </w:p>
    <w:p w:rsidR="00D84838" w:rsidRDefault="00D84838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2368"/>
        <w:tblW w:w="13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200"/>
        <w:gridCol w:w="2568"/>
        <w:gridCol w:w="2427"/>
        <w:gridCol w:w="2427"/>
      </w:tblGrid>
      <w:tr w:rsidR="00D8563C" w:rsidRPr="00C26B17" w:rsidTr="00D8563C">
        <w:trPr>
          <w:trHeight w:val="1090"/>
        </w:trPr>
        <w:tc>
          <w:tcPr>
            <w:tcW w:w="3544" w:type="dxa"/>
            <w:shd w:val="clear" w:color="auto" w:fill="8DB3E2"/>
            <w:noWrap/>
            <w:vAlign w:val="center"/>
            <w:hideMark/>
          </w:tcPr>
          <w:p w:rsidR="00D8563C" w:rsidRPr="0048647A" w:rsidRDefault="00D8563C" w:rsidP="00D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DAVATELJ KREDITA/ZAJMA</w:t>
            </w:r>
          </w:p>
        </w:tc>
        <w:tc>
          <w:tcPr>
            <w:tcW w:w="2200" w:type="dxa"/>
            <w:shd w:val="clear" w:color="auto" w:fill="8DB3E2"/>
            <w:vAlign w:val="center"/>
            <w:hideMark/>
          </w:tcPr>
          <w:p w:rsidR="00D8563C" w:rsidRPr="0048647A" w:rsidRDefault="00D8563C" w:rsidP="00D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ODOBRENI </w:t>
            </w:r>
            <w:r w:rsidRPr="0048647A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IZNOS KREDITA/ZAJMA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(kn)</w:t>
            </w:r>
          </w:p>
        </w:tc>
        <w:tc>
          <w:tcPr>
            <w:tcW w:w="2568" w:type="dxa"/>
            <w:shd w:val="clear" w:color="auto" w:fill="8DB3E2"/>
            <w:noWrap/>
            <w:vAlign w:val="center"/>
            <w:hideMark/>
          </w:tcPr>
          <w:p w:rsidR="00D8563C" w:rsidRPr="0048647A" w:rsidRDefault="00D8563C" w:rsidP="00D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KREDIT/ZAJAM REALIZIRAN</w:t>
            </w:r>
          </w:p>
        </w:tc>
        <w:tc>
          <w:tcPr>
            <w:tcW w:w="2427" w:type="dxa"/>
            <w:shd w:val="clear" w:color="auto" w:fill="8DB3E2"/>
            <w:vAlign w:val="center"/>
            <w:hideMark/>
          </w:tcPr>
          <w:p w:rsidR="00D8563C" w:rsidRPr="0048647A" w:rsidRDefault="00D8563C" w:rsidP="00D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STANJE GLAVNICE 01.01.2020</w:t>
            </w:r>
            <w:r w:rsidRPr="0048647A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(kn)</w:t>
            </w:r>
          </w:p>
        </w:tc>
        <w:tc>
          <w:tcPr>
            <w:tcW w:w="2427" w:type="dxa"/>
            <w:shd w:val="clear" w:color="auto" w:fill="8DB3E2"/>
            <w:vAlign w:val="center"/>
            <w:hideMark/>
          </w:tcPr>
          <w:p w:rsidR="00D8563C" w:rsidRPr="00924AAB" w:rsidRDefault="00D8563C" w:rsidP="00D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4A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ST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ANJE OBVEZE/ISKORIŠTENI IZNOS 31.12.2020</w:t>
            </w:r>
            <w:r w:rsidRPr="00924A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(kn)</w:t>
            </w:r>
          </w:p>
        </w:tc>
      </w:tr>
      <w:tr w:rsidR="00D8563C" w:rsidRPr="00C26B17" w:rsidTr="00D8563C">
        <w:trPr>
          <w:trHeight w:val="873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8563C" w:rsidRPr="0048647A" w:rsidRDefault="00D8563C" w:rsidP="00D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UniCredit Leasing Croatia d.o.o.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8563C" w:rsidRPr="0048647A" w:rsidRDefault="00D8563C" w:rsidP="00D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115.999,70</w:t>
            </w:r>
          </w:p>
        </w:tc>
        <w:tc>
          <w:tcPr>
            <w:tcW w:w="2568" w:type="dxa"/>
            <w:shd w:val="clear" w:color="auto" w:fill="auto"/>
            <w:noWrap/>
            <w:vAlign w:val="center"/>
            <w:hideMark/>
          </w:tcPr>
          <w:p w:rsidR="00D8563C" w:rsidRPr="0048647A" w:rsidRDefault="00D8563C" w:rsidP="00D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201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8</w:t>
            </w:r>
            <w:r w:rsidRPr="0048647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.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D8563C" w:rsidRPr="00382936" w:rsidRDefault="00D8563C" w:rsidP="00D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highlight w:val="yellow"/>
                <w:lang w:eastAsia="hr-HR"/>
              </w:rPr>
            </w:pPr>
            <w:r w:rsidRPr="00621D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62.309,55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D8563C" w:rsidRPr="0048647A" w:rsidRDefault="00D8563C" w:rsidP="00D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hr-HR"/>
              </w:rPr>
              <w:t>42.172,03</w:t>
            </w:r>
          </w:p>
        </w:tc>
      </w:tr>
      <w:tr w:rsidR="00D8563C" w:rsidRPr="00C26B17" w:rsidTr="00D8563C">
        <w:trPr>
          <w:trHeight w:val="662"/>
        </w:trPr>
        <w:tc>
          <w:tcPr>
            <w:tcW w:w="3544" w:type="dxa"/>
            <w:shd w:val="clear" w:color="auto" w:fill="8DB3E2"/>
            <w:noWrap/>
            <w:vAlign w:val="center"/>
          </w:tcPr>
          <w:p w:rsidR="00D8563C" w:rsidRPr="0048647A" w:rsidRDefault="00D8563C" w:rsidP="00D856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864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r-HR"/>
              </w:rPr>
              <w:t>UKUPNO</w:t>
            </w:r>
          </w:p>
        </w:tc>
        <w:tc>
          <w:tcPr>
            <w:tcW w:w="2200" w:type="dxa"/>
            <w:shd w:val="clear" w:color="auto" w:fill="8DB3E2"/>
            <w:noWrap/>
            <w:vAlign w:val="center"/>
          </w:tcPr>
          <w:p w:rsidR="00D8563C" w:rsidRPr="0048647A" w:rsidRDefault="00D8563C" w:rsidP="00D8563C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 xml:space="preserve">   115.999,70</w:t>
            </w:r>
          </w:p>
        </w:tc>
        <w:tc>
          <w:tcPr>
            <w:tcW w:w="2568" w:type="dxa"/>
            <w:shd w:val="clear" w:color="auto" w:fill="8DB3E2"/>
            <w:noWrap/>
            <w:vAlign w:val="center"/>
          </w:tcPr>
          <w:p w:rsidR="00D8563C" w:rsidRPr="0048647A" w:rsidRDefault="00D8563C" w:rsidP="00D8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2018-2020</w:t>
            </w:r>
            <w:r w:rsidRPr="004864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2427" w:type="dxa"/>
            <w:shd w:val="clear" w:color="auto" w:fill="8DB3E2"/>
            <w:noWrap/>
            <w:vAlign w:val="center"/>
          </w:tcPr>
          <w:p w:rsidR="00D8563C" w:rsidRPr="0048647A" w:rsidRDefault="00D8563C" w:rsidP="00D8563C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 xml:space="preserve">    62.309,55</w:t>
            </w:r>
          </w:p>
        </w:tc>
        <w:tc>
          <w:tcPr>
            <w:tcW w:w="2427" w:type="dxa"/>
            <w:shd w:val="clear" w:color="auto" w:fill="8DB3E2"/>
            <w:noWrap/>
            <w:vAlign w:val="center"/>
          </w:tcPr>
          <w:p w:rsidR="00D8563C" w:rsidRPr="00132E84" w:rsidRDefault="00D8563C" w:rsidP="00D8563C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 xml:space="preserve">   </w:t>
            </w:r>
            <w:r w:rsidRPr="00621D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r-HR"/>
              </w:rPr>
              <w:t>42.172,03</w:t>
            </w:r>
          </w:p>
        </w:tc>
      </w:tr>
    </w:tbl>
    <w:p w:rsidR="009121FA" w:rsidRDefault="009121FA" w:rsidP="00E21185">
      <w:pPr>
        <w:pStyle w:val="ListParagraph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121FA" w:rsidRPr="006A4313" w:rsidRDefault="009121FA" w:rsidP="006A4313">
      <w:pPr>
        <w:jc w:val="both"/>
        <w:rPr>
          <w:rFonts w:ascii="Times New Roman" w:hAnsi="Times New Roman"/>
          <w:sz w:val="24"/>
          <w:szCs w:val="24"/>
        </w:rPr>
      </w:pPr>
    </w:p>
    <w:p w:rsidR="00D8563C" w:rsidRDefault="00D8563C" w:rsidP="00D8563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D8563C" w:rsidRDefault="00D8563C" w:rsidP="00D8563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D8563C" w:rsidRDefault="00D8563C" w:rsidP="00D8563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D8563C" w:rsidRDefault="00D8563C" w:rsidP="00D8563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D8563C" w:rsidRDefault="00D8563C" w:rsidP="00D8563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4A2996" w:rsidRPr="00D8563C" w:rsidRDefault="00946C98" w:rsidP="00D8563C">
      <w:pPr>
        <w:autoSpaceDE w:val="0"/>
        <w:autoSpaceDN w:val="0"/>
        <w:adjustRightInd w:val="0"/>
        <w:ind w:left="1134"/>
        <w:jc w:val="both"/>
        <w:rPr>
          <w:rFonts w:ascii="Times New Roman" w:hAnsi="Times New Roman"/>
          <w:sz w:val="24"/>
          <w:szCs w:val="24"/>
        </w:rPr>
      </w:pPr>
      <w:r w:rsidRPr="00D8563C">
        <w:rPr>
          <w:rFonts w:ascii="Times New Roman" w:hAnsi="Times New Roman"/>
          <w:sz w:val="24"/>
          <w:szCs w:val="24"/>
        </w:rPr>
        <w:t xml:space="preserve">Gradonačelnik je temeljem čl. 90. Zakona o proračunu („Narodne novine“ broj 87/08, 136/12 i 15/15)  i čl. 46. stavka 3. točke 12. i točke  14. Statuta Grada Šibenika  („Službeni glasnik Grada Šibenika“ broj 8/10, 5/12, 2/13 i 02/18) </w:t>
      </w:r>
      <w:r w:rsidR="009121FA" w:rsidRPr="00D8563C">
        <w:rPr>
          <w:rFonts w:ascii="Times New Roman" w:hAnsi="Times New Roman"/>
          <w:sz w:val="24"/>
          <w:szCs w:val="24"/>
        </w:rPr>
        <w:t xml:space="preserve"> dana </w:t>
      </w:r>
      <w:r w:rsidRPr="00D8563C">
        <w:rPr>
          <w:rFonts w:ascii="Times New Roman" w:hAnsi="Times New Roman"/>
          <w:sz w:val="24"/>
          <w:szCs w:val="24"/>
        </w:rPr>
        <w:t>29. siječnja 2018. godine donio Odluku o davanju suglasnosti  za zaduženje  ustanovi čij</w:t>
      </w:r>
      <w:r w:rsidR="00A07EF2" w:rsidRPr="00D8563C">
        <w:rPr>
          <w:rFonts w:ascii="Times New Roman" w:hAnsi="Times New Roman"/>
          <w:sz w:val="24"/>
          <w:szCs w:val="24"/>
        </w:rPr>
        <w:t>i</w:t>
      </w:r>
      <w:r w:rsidRPr="00D8563C">
        <w:rPr>
          <w:rFonts w:ascii="Times New Roman" w:hAnsi="Times New Roman"/>
          <w:sz w:val="24"/>
          <w:szCs w:val="24"/>
        </w:rPr>
        <w:t xml:space="preserve"> je Grad osnivač – Muzej Grada Šibenika za zaduženje putem financijskog leasinga kod UniCredit Leasing Croatia d.o.o. za nabavu osobnog vozila marke Dacia, Dokker, Freedom 1,5 dCi 90 (KLASA: 402-01/18-01/15, URBROJ: 2182/01-06-18-2</w:t>
      </w:r>
      <w:r w:rsidR="00A07EF2" w:rsidRPr="00D8563C">
        <w:rPr>
          <w:rFonts w:ascii="Times New Roman" w:hAnsi="Times New Roman"/>
          <w:sz w:val="24"/>
          <w:szCs w:val="24"/>
        </w:rPr>
        <w:t xml:space="preserve">, „Službeni glasnik Grada Šibenika“ </w:t>
      </w:r>
      <w:r w:rsidR="004D1242" w:rsidRPr="00D8563C">
        <w:rPr>
          <w:rFonts w:ascii="Times New Roman" w:hAnsi="Times New Roman"/>
          <w:sz w:val="24"/>
          <w:szCs w:val="24"/>
        </w:rPr>
        <w:t>broj 9/18)</w:t>
      </w:r>
      <w:r w:rsidRPr="00D8563C">
        <w:rPr>
          <w:rFonts w:ascii="Times New Roman" w:hAnsi="Times New Roman"/>
          <w:sz w:val="24"/>
          <w:szCs w:val="24"/>
        </w:rPr>
        <w:t xml:space="preserve"> u iznosu 115.999,00 kn uz nominalnu kamatnu stopu 5,95%, efektivnu kamatnu stopu 7,15%, a na rok otplate 60 mjeseci, odnosno do 09. veljače 2023. godine</w:t>
      </w:r>
      <w:r w:rsidR="009121FA" w:rsidRPr="00D8563C">
        <w:rPr>
          <w:rFonts w:ascii="Times New Roman" w:hAnsi="Times New Roman"/>
          <w:sz w:val="24"/>
          <w:szCs w:val="24"/>
        </w:rPr>
        <w:t>.</w:t>
      </w:r>
    </w:p>
    <w:p w:rsidR="004A2996" w:rsidRDefault="004A2996" w:rsidP="004A2996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E33935" w:rsidRPr="004A2996" w:rsidRDefault="00E33935" w:rsidP="004A2996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4"/>
          <w:szCs w:val="24"/>
        </w:rPr>
      </w:pPr>
      <w:r w:rsidRPr="004A2996">
        <w:rPr>
          <w:rFonts w:ascii="Times New Roman" w:hAnsi="Times New Roman"/>
          <w:sz w:val="24"/>
          <w:szCs w:val="24"/>
        </w:rPr>
        <w:t xml:space="preserve">Po </w:t>
      </w:r>
      <w:r w:rsidR="004C1A4C" w:rsidRPr="004A2996">
        <w:rPr>
          <w:rFonts w:ascii="Times New Roman" w:hAnsi="Times New Roman"/>
          <w:sz w:val="24"/>
          <w:szCs w:val="24"/>
        </w:rPr>
        <w:t xml:space="preserve">danoj suglasnosti Gradonačelnika te po </w:t>
      </w:r>
      <w:r w:rsidRPr="004A2996">
        <w:rPr>
          <w:rFonts w:ascii="Times New Roman" w:hAnsi="Times New Roman"/>
          <w:sz w:val="24"/>
          <w:szCs w:val="24"/>
        </w:rPr>
        <w:t>sklopljenom, gore navedenom Ugovoru</w:t>
      </w:r>
      <w:r w:rsidR="004A2996" w:rsidRPr="004A2996">
        <w:rPr>
          <w:rFonts w:ascii="Times New Roman" w:hAnsi="Times New Roman"/>
          <w:sz w:val="24"/>
          <w:szCs w:val="24"/>
        </w:rPr>
        <w:t xml:space="preserve"> iz 2018. godine</w:t>
      </w:r>
      <w:r w:rsidRPr="004A2996">
        <w:rPr>
          <w:rFonts w:ascii="Times New Roman" w:hAnsi="Times New Roman"/>
          <w:sz w:val="24"/>
          <w:szCs w:val="24"/>
        </w:rPr>
        <w:t>, Grad Šibenik je izvijestio</w:t>
      </w:r>
      <w:r w:rsidR="004A2996" w:rsidRPr="004A2996">
        <w:rPr>
          <w:rFonts w:ascii="Times New Roman" w:hAnsi="Times New Roman"/>
          <w:sz w:val="24"/>
          <w:szCs w:val="24"/>
        </w:rPr>
        <w:t xml:space="preserve"> </w:t>
      </w:r>
      <w:r w:rsidRPr="004A2996">
        <w:rPr>
          <w:rFonts w:ascii="Times New Roman" w:hAnsi="Times New Roman"/>
          <w:sz w:val="24"/>
          <w:szCs w:val="24"/>
        </w:rPr>
        <w:t>Ministarstvo financija, a postupajući po čl. 90. Zakona o proračunu.</w:t>
      </w:r>
    </w:p>
    <w:p w:rsidR="004A2996" w:rsidRDefault="004A2996" w:rsidP="004A2996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4A2996" w:rsidRPr="00AD55F5" w:rsidRDefault="004A2996" w:rsidP="00AD55F5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4"/>
          <w:szCs w:val="24"/>
        </w:rPr>
      </w:pPr>
      <w:r w:rsidRPr="00AD55F5">
        <w:rPr>
          <w:rFonts w:ascii="Times New Roman" w:hAnsi="Times New Roman"/>
          <w:sz w:val="24"/>
          <w:szCs w:val="24"/>
        </w:rPr>
        <w:t>Sukladno čl. 90. Zakona o proračunu, Grad Šibenik je izvještavao Ministarstvo financija unutar proračunske godine, tromjesečno, do   10. u mjesecu za prethodno izvještajno razdoblje o otplati na temelju ugovora o zaduživanju pravnih osoba i ustanova u vlasništvu Grada Šibenika.</w:t>
      </w:r>
    </w:p>
    <w:p w:rsidR="004A2996" w:rsidRPr="00E33935" w:rsidRDefault="004A2996" w:rsidP="00E33935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8C3A99" w:rsidRDefault="008C3A99" w:rsidP="00C066F3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C066F3" w:rsidRDefault="00C066F3" w:rsidP="00C066F3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Muzej Grada Šibenika je </w:t>
      </w:r>
      <w:r w:rsidR="003C4419">
        <w:rPr>
          <w:rFonts w:ascii="Times New Roman" w:hAnsi="Times New Roman"/>
          <w:sz w:val="24"/>
          <w:szCs w:val="24"/>
        </w:rPr>
        <w:t>od prvog korištenja leasinga do 31. prosinca 2020. godine ukupno otplatio 73.827,67 kn glavnice te 11.785,46</w:t>
      </w:r>
      <w:r w:rsidR="004A2996">
        <w:rPr>
          <w:rFonts w:ascii="Times New Roman" w:hAnsi="Times New Roman"/>
          <w:sz w:val="24"/>
          <w:szCs w:val="24"/>
        </w:rPr>
        <w:t xml:space="preserve"> </w:t>
      </w:r>
      <w:r w:rsidR="003C4419">
        <w:rPr>
          <w:rFonts w:ascii="Times New Roman" w:hAnsi="Times New Roman"/>
          <w:sz w:val="24"/>
          <w:szCs w:val="24"/>
        </w:rPr>
        <w:t>kn redovne kamate po sklopljenom Ugovoru o financijskom leasingu br. 09095 od datuma 30. siječnja 2018. godine.</w:t>
      </w:r>
    </w:p>
    <w:p w:rsidR="008C3A99" w:rsidRPr="00C066F3" w:rsidRDefault="008C3A99" w:rsidP="00C066F3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6A4313" w:rsidRPr="00A521FA" w:rsidRDefault="0052747F" w:rsidP="00A521FA">
      <w:pPr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Iznosi preostalih otplata po </w:t>
      </w:r>
      <w:r w:rsidR="0099485B">
        <w:rPr>
          <w:rFonts w:ascii="Times New Roman" w:hAnsi="Times New Roman"/>
          <w:sz w:val="24"/>
          <w:szCs w:val="24"/>
        </w:rPr>
        <w:t>financijskom</w:t>
      </w:r>
      <w:r>
        <w:rPr>
          <w:rFonts w:ascii="Times New Roman" w:hAnsi="Times New Roman"/>
          <w:sz w:val="24"/>
          <w:szCs w:val="24"/>
        </w:rPr>
        <w:t xml:space="preserve"> </w:t>
      </w:r>
      <w:r w:rsidR="0099485B">
        <w:rPr>
          <w:rFonts w:ascii="Times New Roman" w:hAnsi="Times New Roman"/>
          <w:sz w:val="24"/>
          <w:szCs w:val="24"/>
        </w:rPr>
        <w:t xml:space="preserve">leasingu </w:t>
      </w:r>
      <w:r w:rsidR="0099485B" w:rsidRPr="00C066F3">
        <w:rPr>
          <w:rFonts w:ascii="Times New Roman" w:hAnsi="Times New Roman"/>
          <w:sz w:val="24"/>
          <w:szCs w:val="24"/>
        </w:rPr>
        <w:t>UniCredit Leasing Croatia d.o.o.</w:t>
      </w:r>
      <w:r w:rsidR="0099485B">
        <w:rPr>
          <w:rFonts w:ascii="Times New Roman" w:hAnsi="Times New Roman"/>
          <w:sz w:val="24"/>
          <w:szCs w:val="24"/>
        </w:rPr>
        <w:t xml:space="preserve">, Zagreb </w:t>
      </w:r>
      <w:r>
        <w:rPr>
          <w:rFonts w:ascii="Times New Roman" w:hAnsi="Times New Roman"/>
          <w:sz w:val="24"/>
          <w:szCs w:val="24"/>
        </w:rPr>
        <w:t>raspoređeni prema dospijeću u narednim godinama po dostavljenom otplatnom planu u kunama:</w:t>
      </w:r>
    </w:p>
    <w:p w:rsidR="006D4FDF" w:rsidRDefault="006D4FDF" w:rsidP="006D4FDF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</w:p>
    <w:tbl>
      <w:tblPr>
        <w:tblW w:w="8840" w:type="dxa"/>
        <w:tblInd w:w="1101" w:type="dxa"/>
        <w:tblLook w:val="04A0"/>
      </w:tblPr>
      <w:tblGrid>
        <w:gridCol w:w="2690"/>
        <w:gridCol w:w="1802"/>
        <w:gridCol w:w="1517"/>
        <w:gridCol w:w="2831"/>
      </w:tblGrid>
      <w:tr w:rsidR="006D4FDF" w:rsidRPr="009879C0" w:rsidTr="00A53A78">
        <w:trPr>
          <w:trHeight w:val="30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FDF" w:rsidRPr="009879C0" w:rsidRDefault="006D4FDF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UniCredit Leasing Croatia – financijski leasing</w:t>
            </w:r>
          </w:p>
        </w:tc>
      </w:tr>
      <w:tr w:rsidR="006D4FDF" w:rsidRPr="009879C0" w:rsidTr="00A53A78">
        <w:trPr>
          <w:trHeight w:val="30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FDF" w:rsidRPr="009879C0" w:rsidRDefault="006D4FDF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Ukupna vrijednost objekta leasinga: 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115.999,00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kn</w:t>
            </w:r>
          </w:p>
        </w:tc>
      </w:tr>
      <w:tr w:rsidR="006D4FDF" w:rsidRPr="00DD594E" w:rsidTr="00A53A78">
        <w:trPr>
          <w:trHeight w:val="30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DF" w:rsidRPr="00DD594E" w:rsidRDefault="006D4FDF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Nabava osobnog vozila marke Dacia, Dokker, Freedom 1,5 dCi 90</w:t>
            </w:r>
          </w:p>
        </w:tc>
      </w:tr>
      <w:tr w:rsidR="006D4FDF" w:rsidRPr="009879C0" w:rsidTr="00A53A78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DF" w:rsidRPr="009879C0" w:rsidRDefault="006D4FDF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DOSPIJEĆE/GODINA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DF" w:rsidRPr="009879C0" w:rsidRDefault="006D4FDF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GLAVNICA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DF" w:rsidRPr="009879C0" w:rsidRDefault="006D4FDF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KAMATA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DF" w:rsidRPr="009879C0" w:rsidRDefault="006D4FDF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OTPLATNA RATA</w:t>
            </w:r>
          </w:p>
        </w:tc>
      </w:tr>
      <w:tr w:rsidR="006D4FDF" w:rsidRPr="009879C0" w:rsidTr="00A53A78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DF" w:rsidRPr="009879C0" w:rsidRDefault="006D4FDF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DF" w:rsidRDefault="00022535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19.284,81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DF" w:rsidRDefault="00022535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2.018,55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DF" w:rsidRDefault="00117987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21.303,36</w:t>
            </w:r>
          </w:p>
        </w:tc>
      </w:tr>
      <w:tr w:rsidR="006D4FDF" w:rsidRPr="009879C0" w:rsidTr="00A53A78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DF" w:rsidRPr="009879C0" w:rsidRDefault="006D4FDF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DF" w:rsidRPr="009879C0" w:rsidRDefault="00022535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20.464,09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DF" w:rsidRPr="009879C0" w:rsidRDefault="00022535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839,27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DF" w:rsidRPr="009879C0" w:rsidRDefault="00117987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21.303,36</w:t>
            </w:r>
          </w:p>
        </w:tc>
      </w:tr>
      <w:tr w:rsidR="006D4FDF" w:rsidRPr="009879C0" w:rsidTr="00A53A78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DF" w:rsidRPr="009879C0" w:rsidRDefault="006D4FDF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9879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DF" w:rsidRPr="009879C0" w:rsidRDefault="00117987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2.920,08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DF" w:rsidRPr="009879C0" w:rsidRDefault="00FC13E0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14,48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DF" w:rsidRPr="009879C0" w:rsidRDefault="00FC13E0" w:rsidP="00A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2.935,28</w:t>
            </w:r>
          </w:p>
        </w:tc>
      </w:tr>
    </w:tbl>
    <w:p w:rsidR="006D4FDF" w:rsidRDefault="006D4FDF" w:rsidP="006D4FDF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</w:p>
    <w:p w:rsidR="00946C98" w:rsidRDefault="00946C98" w:rsidP="00A044B8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</w:p>
    <w:p w:rsidR="006D4FDF" w:rsidRDefault="006D4FDF" w:rsidP="00A044B8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</w:p>
    <w:p w:rsidR="006D4FDF" w:rsidRDefault="006D4FDF" w:rsidP="00A044B8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</w:p>
    <w:p w:rsidR="006D4FDF" w:rsidRDefault="006D4FDF" w:rsidP="00A044B8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</w:p>
    <w:p w:rsidR="006D4FDF" w:rsidRDefault="006D4FDF" w:rsidP="00A044B8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</w:p>
    <w:p w:rsidR="008C3A99" w:rsidRDefault="008C3A99" w:rsidP="00975260">
      <w:pPr>
        <w:jc w:val="both"/>
        <w:rPr>
          <w:rFonts w:ascii="Times New Roman" w:hAnsi="Times New Roman"/>
          <w:sz w:val="24"/>
          <w:szCs w:val="24"/>
        </w:rPr>
      </w:pPr>
    </w:p>
    <w:p w:rsidR="00D8563C" w:rsidRDefault="00D8563C" w:rsidP="00975260">
      <w:pPr>
        <w:jc w:val="both"/>
        <w:rPr>
          <w:rFonts w:ascii="Times New Roman" w:hAnsi="Times New Roman"/>
          <w:sz w:val="24"/>
          <w:szCs w:val="24"/>
        </w:rPr>
      </w:pPr>
    </w:p>
    <w:p w:rsidR="00D8563C" w:rsidRDefault="00D8563C" w:rsidP="00975260">
      <w:pPr>
        <w:jc w:val="both"/>
        <w:rPr>
          <w:rFonts w:ascii="Times New Roman" w:hAnsi="Times New Roman"/>
          <w:sz w:val="24"/>
          <w:szCs w:val="24"/>
        </w:rPr>
      </w:pPr>
    </w:p>
    <w:p w:rsidR="00D8563C" w:rsidRDefault="00D8563C" w:rsidP="00975260">
      <w:pPr>
        <w:jc w:val="both"/>
        <w:rPr>
          <w:rFonts w:ascii="Times New Roman" w:hAnsi="Times New Roman"/>
          <w:sz w:val="24"/>
          <w:szCs w:val="24"/>
        </w:rPr>
      </w:pPr>
    </w:p>
    <w:p w:rsidR="00786647" w:rsidRDefault="00F00120" w:rsidP="0097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Sukladno Pravilniku o polugodišnjem i godišnjem izvještaju o izvršenju proračuna („Narodne novine“ broj 24/13, 102/17</w:t>
      </w:r>
      <w:r w:rsidR="004E47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01/20</w:t>
      </w:r>
      <w:r w:rsidR="004E47CB">
        <w:rPr>
          <w:rFonts w:ascii="Times New Roman" w:hAnsi="Times New Roman"/>
          <w:sz w:val="24"/>
          <w:szCs w:val="24"/>
        </w:rPr>
        <w:t xml:space="preserve"> i </w:t>
      </w:r>
      <w:r w:rsidR="004E47CB" w:rsidRPr="00F45DBC">
        <w:rPr>
          <w:rFonts w:ascii="Times New Roman" w:hAnsi="Times New Roman"/>
          <w:sz w:val="24"/>
          <w:szCs w:val="24"/>
        </w:rPr>
        <w:t>147/20</w:t>
      </w:r>
      <w:r w:rsidRPr="00F45DBC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s</w:t>
      </w:r>
      <w:r w:rsidR="00786647" w:rsidRPr="00786647">
        <w:rPr>
          <w:rFonts w:ascii="Times New Roman" w:hAnsi="Times New Roman"/>
          <w:sz w:val="24"/>
          <w:szCs w:val="24"/>
        </w:rPr>
        <w:t>astavni dio izvještaja</w:t>
      </w:r>
      <w:r w:rsidR="00786647">
        <w:rPr>
          <w:rFonts w:ascii="Times New Roman" w:hAnsi="Times New Roman"/>
          <w:sz w:val="24"/>
          <w:szCs w:val="24"/>
        </w:rPr>
        <w:t xml:space="preserve"> o zaduživanju je </w:t>
      </w:r>
      <w:r>
        <w:rPr>
          <w:rFonts w:ascii="Times New Roman" w:hAnsi="Times New Roman"/>
          <w:sz w:val="24"/>
          <w:szCs w:val="24"/>
        </w:rPr>
        <w:t xml:space="preserve">i </w:t>
      </w:r>
      <w:r w:rsidR="00786647">
        <w:rPr>
          <w:rFonts w:ascii="Times New Roman" w:hAnsi="Times New Roman"/>
          <w:sz w:val="24"/>
          <w:szCs w:val="24"/>
        </w:rPr>
        <w:t xml:space="preserve">izvještaj o zajmovima i potraživanjima za dane zajmove </w:t>
      </w:r>
      <w:r w:rsidR="00BA6E48">
        <w:rPr>
          <w:rFonts w:ascii="Times New Roman" w:hAnsi="Times New Roman"/>
          <w:sz w:val="24"/>
          <w:szCs w:val="24"/>
        </w:rPr>
        <w:t xml:space="preserve">uključujući i proračunske korisnike Grada Šibenika </w:t>
      </w:r>
      <w:r w:rsidR="00BE36B0">
        <w:rPr>
          <w:rFonts w:ascii="Times New Roman" w:hAnsi="Times New Roman"/>
          <w:sz w:val="24"/>
          <w:szCs w:val="24"/>
        </w:rPr>
        <w:t xml:space="preserve">pa se u nastavku </w:t>
      </w:r>
      <w:r w:rsidR="00786647">
        <w:rPr>
          <w:rFonts w:ascii="Times New Roman" w:hAnsi="Times New Roman"/>
          <w:sz w:val="24"/>
          <w:szCs w:val="24"/>
        </w:rPr>
        <w:t xml:space="preserve">za razdoblje </w:t>
      </w:r>
      <w:r w:rsidR="00786647" w:rsidRPr="00F45DBC">
        <w:rPr>
          <w:rFonts w:ascii="Times New Roman" w:hAnsi="Times New Roman"/>
          <w:sz w:val="24"/>
          <w:szCs w:val="24"/>
        </w:rPr>
        <w:t>od 01. siječnja do 3</w:t>
      </w:r>
      <w:r w:rsidR="00637D0A" w:rsidRPr="00F45DBC">
        <w:rPr>
          <w:rFonts w:ascii="Times New Roman" w:hAnsi="Times New Roman"/>
          <w:sz w:val="24"/>
          <w:szCs w:val="24"/>
        </w:rPr>
        <w:t>1</w:t>
      </w:r>
      <w:r w:rsidR="00786647" w:rsidRPr="00F45DBC">
        <w:rPr>
          <w:rFonts w:ascii="Times New Roman" w:hAnsi="Times New Roman"/>
          <w:sz w:val="24"/>
          <w:szCs w:val="24"/>
        </w:rPr>
        <w:t xml:space="preserve">. </w:t>
      </w:r>
      <w:r w:rsidR="00637D0A" w:rsidRPr="00F45DBC">
        <w:rPr>
          <w:rFonts w:ascii="Times New Roman" w:hAnsi="Times New Roman"/>
          <w:sz w:val="24"/>
          <w:szCs w:val="24"/>
        </w:rPr>
        <w:t>prosinca</w:t>
      </w:r>
      <w:r w:rsidR="00786647" w:rsidRPr="00F45DBC">
        <w:rPr>
          <w:rFonts w:ascii="Times New Roman" w:hAnsi="Times New Roman"/>
          <w:sz w:val="24"/>
          <w:szCs w:val="24"/>
        </w:rPr>
        <w:t xml:space="preserve"> 20</w:t>
      </w:r>
      <w:r w:rsidR="00201893" w:rsidRPr="00F45DBC">
        <w:rPr>
          <w:rFonts w:ascii="Times New Roman" w:hAnsi="Times New Roman"/>
          <w:sz w:val="24"/>
          <w:szCs w:val="24"/>
        </w:rPr>
        <w:t>20</w:t>
      </w:r>
      <w:r w:rsidR="00786647" w:rsidRPr="00F45DBC">
        <w:rPr>
          <w:rFonts w:ascii="Times New Roman" w:hAnsi="Times New Roman"/>
          <w:sz w:val="24"/>
          <w:szCs w:val="24"/>
        </w:rPr>
        <w:t>. godine</w:t>
      </w:r>
      <w:r w:rsidRPr="00F45DBC">
        <w:rPr>
          <w:rFonts w:ascii="Times New Roman" w:hAnsi="Times New Roman"/>
          <w:sz w:val="24"/>
          <w:szCs w:val="24"/>
        </w:rPr>
        <w:t xml:space="preserve"> daje pregled:</w:t>
      </w:r>
    </w:p>
    <w:p w:rsidR="008C3A99" w:rsidRDefault="008C3A99" w:rsidP="00B40173">
      <w:pPr>
        <w:rPr>
          <w:rFonts w:ascii="Times New Roman" w:hAnsi="Times New Roman"/>
          <w:sz w:val="24"/>
          <w:szCs w:val="24"/>
        </w:rPr>
      </w:pPr>
      <w:bookmarkStart w:id="2" w:name="_Hlk66969820"/>
    </w:p>
    <w:tbl>
      <w:tblPr>
        <w:tblW w:w="12024" w:type="dxa"/>
        <w:tblInd w:w="118" w:type="dxa"/>
        <w:tblLook w:val="04A0"/>
      </w:tblPr>
      <w:tblGrid>
        <w:gridCol w:w="980"/>
        <w:gridCol w:w="4486"/>
        <w:gridCol w:w="3171"/>
        <w:gridCol w:w="1896"/>
        <w:gridCol w:w="1491"/>
      </w:tblGrid>
      <w:tr w:rsidR="00C46338" w:rsidRPr="00C46338" w:rsidTr="006C3969">
        <w:trPr>
          <w:trHeight w:val="330"/>
        </w:trPr>
        <w:tc>
          <w:tcPr>
            <w:tcW w:w="12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POTRAŽIVANJA PO DANIM ZAJMOVIMA </w:t>
            </w:r>
            <w:r w:rsidR="005E5165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(pozajmica/POS stanovi)</w:t>
            </w:r>
            <w:r w:rsidR="00BA6E48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– GRAD ŠIBENIK</w:t>
            </w:r>
          </w:p>
        </w:tc>
      </w:tr>
      <w:tr w:rsidR="00AE5350" w:rsidRPr="00C46338" w:rsidTr="006C3969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50" w:rsidRPr="00C46338" w:rsidRDefault="00AE5350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350" w:rsidRPr="00C46338" w:rsidRDefault="00AE5350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655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350" w:rsidRPr="00C46338" w:rsidRDefault="00AE5350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Valuta </w:t>
            </w: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br/>
              <w:t>HRK</w:t>
            </w:r>
          </w:p>
        </w:tc>
      </w:tr>
      <w:tr w:rsidR="00AE5350" w:rsidRPr="00C46338" w:rsidTr="006C3969">
        <w:trPr>
          <w:trHeight w:val="5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50" w:rsidRPr="00C46338" w:rsidRDefault="00AE5350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13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350" w:rsidRPr="00C46338" w:rsidRDefault="00AE5350" w:rsidP="00C463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Zajmovi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trgovačkim društvima </w:t>
            </w:r>
            <w:r w:rsidR="00B632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i obrtnicima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izvan javnog sektora – kratkoročni </w:t>
            </w:r>
          </w:p>
        </w:tc>
        <w:tc>
          <w:tcPr>
            <w:tcW w:w="655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50" w:rsidRPr="00C46338" w:rsidRDefault="00AE5350" w:rsidP="00C463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C46338" w:rsidRPr="00C46338" w:rsidTr="006C3969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338" w:rsidRPr="00C46338" w:rsidRDefault="00C46338" w:rsidP="00C46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E5350" w:rsidRPr="00C46338" w:rsidTr="006C3969">
        <w:trPr>
          <w:trHeight w:val="57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50" w:rsidRPr="00C46338" w:rsidRDefault="00AE5350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Red. broj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50" w:rsidRPr="00C46338" w:rsidRDefault="00AE5350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Dužnik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350" w:rsidRPr="00C46338" w:rsidRDefault="00AE5350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Stanje ukupnih potraživanja na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0</w:t>
            </w: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01</w:t>
            </w: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.20</w:t>
            </w:r>
            <w:r w:rsidR="009A0F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20</w:t>
            </w: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350" w:rsidRPr="00C46338" w:rsidRDefault="00AE5350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Stanje </w:t>
            </w:r>
            <w:r w:rsidRPr="000C03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ukupnih potraživanja na 3</w:t>
            </w:r>
            <w:r w:rsidR="00AD0394" w:rsidRPr="000C03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</w:t>
            </w:r>
            <w:r w:rsidRPr="000C03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AD0394" w:rsidRPr="000C03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12</w:t>
            </w:r>
            <w:r w:rsidRPr="000C03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  <w:r w:rsidRPr="00F040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20</w:t>
            </w:r>
            <w:r w:rsidR="009A0F42" w:rsidRPr="00F040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20</w:t>
            </w:r>
            <w:r w:rsidRPr="00F040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AE5350" w:rsidRPr="00C46338" w:rsidTr="006C3969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350" w:rsidRPr="00C46338" w:rsidRDefault="00AE5350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50" w:rsidRPr="00C46338" w:rsidRDefault="00AE5350" w:rsidP="00C46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TEF D.D.</w:t>
            </w:r>
            <w:r w:rsidRPr="00C463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(</w:t>
            </w:r>
            <w:r w:rsidR="00BC07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Kratkoročna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poz</w:t>
            </w:r>
            <w:r w:rsidR="00E435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ajmica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50" w:rsidRPr="00C46338" w:rsidRDefault="009A0F42" w:rsidP="00415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1.970.439,44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350" w:rsidRPr="00C46338" w:rsidRDefault="009A0F42" w:rsidP="00415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950.000,00</w:t>
            </w:r>
          </w:p>
        </w:tc>
      </w:tr>
      <w:tr w:rsidR="00AE5350" w:rsidRPr="00C46338" w:rsidTr="006C3969">
        <w:trPr>
          <w:trHeight w:val="330"/>
        </w:trPr>
        <w:tc>
          <w:tcPr>
            <w:tcW w:w="5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5350" w:rsidRPr="00C46338" w:rsidRDefault="00AE5350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PROMET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350" w:rsidRPr="00C46338" w:rsidRDefault="009A0F42" w:rsidP="00415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1.970.439,44</w:t>
            </w:r>
          </w:p>
        </w:tc>
        <w:tc>
          <w:tcPr>
            <w:tcW w:w="3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350" w:rsidRPr="009A0F42" w:rsidRDefault="009A0F42" w:rsidP="00415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A0F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950.000,00</w:t>
            </w:r>
          </w:p>
        </w:tc>
      </w:tr>
      <w:bookmarkEnd w:id="2"/>
      <w:tr w:rsidR="00C46338" w:rsidRPr="00C46338" w:rsidTr="006C3969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338" w:rsidRPr="00C46338" w:rsidRDefault="00C46338" w:rsidP="00C46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3969" w:rsidRPr="00C46338" w:rsidTr="006C3969">
        <w:trPr>
          <w:trHeight w:val="33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69" w:rsidRPr="00C46338" w:rsidRDefault="006C3969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969" w:rsidRPr="00C46338" w:rsidRDefault="006C3969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65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969" w:rsidRPr="00C46338" w:rsidRDefault="006C3969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Valuta </w:t>
            </w: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br/>
              <w:t>HRK</w:t>
            </w:r>
          </w:p>
        </w:tc>
      </w:tr>
      <w:tr w:rsidR="006C3969" w:rsidRPr="00C46338" w:rsidTr="004662DD">
        <w:trPr>
          <w:trHeight w:val="46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69" w:rsidRPr="00C46338" w:rsidRDefault="006C3969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13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969" w:rsidRPr="00C46338" w:rsidRDefault="006C3969" w:rsidP="00C463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Zajmovi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neprofitnim organizacijama, građanima i kućanstvima - dugoročni</w:t>
            </w:r>
          </w:p>
        </w:tc>
        <w:tc>
          <w:tcPr>
            <w:tcW w:w="655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969" w:rsidRPr="00C46338" w:rsidRDefault="006C3969" w:rsidP="00C463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C46338" w:rsidRPr="00C46338" w:rsidTr="006C3969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338" w:rsidRPr="00C46338" w:rsidRDefault="00C46338" w:rsidP="00C46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3969" w:rsidRPr="00C46338" w:rsidTr="0042180A">
        <w:trPr>
          <w:trHeight w:val="72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969" w:rsidRPr="00C46338" w:rsidRDefault="006C3969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Red. broj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69" w:rsidRPr="00C46338" w:rsidRDefault="006C3969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Dužnik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969" w:rsidRPr="00C46338" w:rsidRDefault="006C3969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Stanje ukupnih potraživanja na </w:t>
            </w:r>
            <w:r w:rsidR="000119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01</w:t>
            </w: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0119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01</w:t>
            </w: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.20</w:t>
            </w:r>
            <w:r w:rsidR="007E58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20</w:t>
            </w: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969" w:rsidRPr="000C0313" w:rsidRDefault="006C3969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0C03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Stanje ukupnih potraživanja na 3</w:t>
            </w:r>
            <w:r w:rsidR="009E36A1" w:rsidRPr="000C03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</w:t>
            </w:r>
            <w:r w:rsidRPr="000C03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9E36A1" w:rsidRPr="000C03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12</w:t>
            </w:r>
            <w:r w:rsidRPr="000C03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7E5832" w:rsidRPr="000C03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2020.</w:t>
            </w:r>
          </w:p>
        </w:tc>
      </w:tr>
      <w:tr w:rsidR="006C3969" w:rsidRPr="00C46338" w:rsidTr="0042180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969" w:rsidRPr="00C46338" w:rsidRDefault="006C3969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69" w:rsidRPr="00C46338" w:rsidRDefault="006C3969" w:rsidP="00C46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APN </w:t>
            </w:r>
            <w:r w:rsidR="005E5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POS</w:t>
            </w:r>
            <w:r w:rsidR="005E5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stanovi na Meterizama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969" w:rsidRPr="00C46338" w:rsidRDefault="007E5832" w:rsidP="005D2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1.676.765,59</w:t>
            </w:r>
          </w:p>
        </w:tc>
        <w:tc>
          <w:tcPr>
            <w:tcW w:w="3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969" w:rsidRPr="000C0313" w:rsidRDefault="007E5832" w:rsidP="005D2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0C03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</w:t>
            </w:r>
            <w:r w:rsidR="009B360B" w:rsidRPr="000C03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324.803,60</w:t>
            </w:r>
          </w:p>
        </w:tc>
      </w:tr>
      <w:tr w:rsidR="006C3969" w:rsidRPr="00C46338" w:rsidTr="0042180A">
        <w:trPr>
          <w:trHeight w:val="330"/>
        </w:trPr>
        <w:tc>
          <w:tcPr>
            <w:tcW w:w="5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3969" w:rsidRPr="00C46338" w:rsidRDefault="006C3969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PROMET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969" w:rsidRPr="00C46338" w:rsidRDefault="007E5832" w:rsidP="005D2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5D2A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1.676.765,59</w:t>
            </w:r>
          </w:p>
        </w:tc>
        <w:tc>
          <w:tcPr>
            <w:tcW w:w="3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969" w:rsidRPr="000C0313" w:rsidRDefault="009B360B" w:rsidP="005D2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0C03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1.324.803,60</w:t>
            </w:r>
          </w:p>
        </w:tc>
      </w:tr>
      <w:tr w:rsidR="00C46338" w:rsidRPr="00C46338" w:rsidTr="006C3969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5D2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38" w:rsidRPr="00C46338" w:rsidRDefault="00C46338" w:rsidP="005D2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338" w:rsidRPr="00C46338" w:rsidRDefault="00C46338" w:rsidP="005D2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5B1443" w:rsidRPr="00C46338" w:rsidTr="006C3969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443" w:rsidRDefault="005B1443" w:rsidP="00C463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:rsidR="005B1443" w:rsidRDefault="005B1443" w:rsidP="00C463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:rsidR="005B1443" w:rsidRDefault="005B1443" w:rsidP="00C463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:rsidR="005B1443" w:rsidRPr="00C46338" w:rsidRDefault="005B1443" w:rsidP="00C463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443" w:rsidRDefault="005B1443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:rsidR="00D8563C" w:rsidRPr="00C46338" w:rsidRDefault="00D8563C" w:rsidP="00C4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443" w:rsidRPr="00C46338" w:rsidRDefault="005B1443" w:rsidP="005D2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443" w:rsidRPr="00C46338" w:rsidRDefault="005B1443" w:rsidP="005D2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443" w:rsidRPr="00C46338" w:rsidRDefault="005B1443" w:rsidP="005D2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AB2C45" w:rsidRPr="0075616A" w:rsidRDefault="00E4351C" w:rsidP="00183EB2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BC1650">
        <w:rPr>
          <w:rFonts w:ascii="Times New Roman" w:hAnsi="Times New Roman"/>
          <w:b/>
          <w:bCs/>
          <w:sz w:val="24"/>
          <w:szCs w:val="24"/>
        </w:rPr>
        <w:lastRenderedPageBreak/>
        <w:t>Tvornica</w:t>
      </w:r>
      <w:r w:rsidR="00183EB2">
        <w:rPr>
          <w:rFonts w:ascii="Times New Roman" w:hAnsi="Times New Roman"/>
          <w:b/>
          <w:bCs/>
          <w:sz w:val="24"/>
          <w:szCs w:val="24"/>
        </w:rPr>
        <w:t xml:space="preserve"> elektroda i ferolegura Šibenik</w:t>
      </w:r>
      <w:r w:rsidRPr="00BC1650">
        <w:rPr>
          <w:rFonts w:ascii="Times New Roman" w:hAnsi="Times New Roman"/>
          <w:b/>
          <w:bCs/>
          <w:sz w:val="24"/>
          <w:szCs w:val="24"/>
        </w:rPr>
        <w:t xml:space="preserve"> dioničko društvo (dalje: TEF d.d.)</w:t>
      </w:r>
      <w:r>
        <w:rPr>
          <w:rFonts w:ascii="Times New Roman" w:hAnsi="Times New Roman"/>
          <w:sz w:val="24"/>
          <w:szCs w:val="24"/>
        </w:rPr>
        <w:t xml:space="preserve"> –  </w:t>
      </w:r>
      <w:r w:rsidRPr="0075616A">
        <w:rPr>
          <w:rFonts w:ascii="Times New Roman" w:hAnsi="Times New Roman"/>
          <w:sz w:val="24"/>
          <w:szCs w:val="24"/>
        </w:rPr>
        <w:t>Gradsko vijeće Grada Šibenika je 20. lipnja 2018.</w:t>
      </w:r>
      <w:r w:rsidR="001D6D6D" w:rsidRPr="0075616A">
        <w:rPr>
          <w:rFonts w:ascii="Times New Roman" w:hAnsi="Times New Roman"/>
          <w:sz w:val="24"/>
          <w:szCs w:val="24"/>
        </w:rPr>
        <w:t xml:space="preserve"> </w:t>
      </w:r>
      <w:r w:rsidRPr="0075616A">
        <w:rPr>
          <w:rFonts w:ascii="Times New Roman" w:hAnsi="Times New Roman"/>
          <w:sz w:val="24"/>
          <w:szCs w:val="24"/>
        </w:rPr>
        <w:t xml:space="preserve">godine donijelo Odluku o odobrenju </w:t>
      </w:r>
      <w:r w:rsidR="005F33DB" w:rsidRPr="0075616A">
        <w:rPr>
          <w:rFonts w:ascii="Times New Roman" w:hAnsi="Times New Roman"/>
          <w:sz w:val="24"/>
          <w:szCs w:val="24"/>
        </w:rPr>
        <w:t xml:space="preserve">kratkoročne </w:t>
      </w:r>
      <w:r w:rsidRPr="0075616A">
        <w:rPr>
          <w:rFonts w:ascii="Times New Roman" w:hAnsi="Times New Roman"/>
          <w:sz w:val="24"/>
          <w:szCs w:val="24"/>
        </w:rPr>
        <w:t>pozajmice TEF-u d.d. Šibenik</w:t>
      </w:r>
      <w:r w:rsidR="00491649" w:rsidRPr="0075616A">
        <w:rPr>
          <w:rFonts w:ascii="Times New Roman" w:hAnsi="Times New Roman"/>
          <w:sz w:val="24"/>
          <w:szCs w:val="24"/>
        </w:rPr>
        <w:t xml:space="preserve">  (KLASA: 400-01/18-01/29, URBROJ: 2182/01-06/1-18-3</w:t>
      </w:r>
      <w:r w:rsidR="004E0F87" w:rsidRPr="0075616A">
        <w:rPr>
          <w:rFonts w:ascii="Times New Roman" w:hAnsi="Times New Roman"/>
          <w:sz w:val="24"/>
          <w:szCs w:val="24"/>
        </w:rPr>
        <w:t>)</w:t>
      </w:r>
      <w:r w:rsidRPr="0075616A">
        <w:rPr>
          <w:rFonts w:ascii="Times New Roman" w:hAnsi="Times New Roman"/>
          <w:sz w:val="24"/>
          <w:szCs w:val="24"/>
        </w:rPr>
        <w:t xml:space="preserve"> u maksimalnom iznosu do 1.912.000,00 kn, a u svrhu </w:t>
      </w:r>
      <w:r w:rsidR="00C63130" w:rsidRPr="0075616A">
        <w:rPr>
          <w:rFonts w:ascii="Times New Roman" w:hAnsi="Times New Roman"/>
          <w:sz w:val="24"/>
          <w:szCs w:val="24"/>
        </w:rPr>
        <w:t>okončanja postupka sanacije opasnog otpada te rješavanja potraživanja vjerovnika temeljem pravomoćno izgubljenog sudskog spora Tef-a. Po istoj, Grad Šibenik je Tef-u d.d. isplatio 1.020.439,44 kn što čini početni saldo potraživanja</w:t>
      </w:r>
      <w:r w:rsidR="00F14111" w:rsidRPr="0075616A">
        <w:rPr>
          <w:rFonts w:ascii="Times New Roman" w:hAnsi="Times New Roman"/>
          <w:sz w:val="24"/>
          <w:szCs w:val="24"/>
        </w:rPr>
        <w:t xml:space="preserve"> na datum 01. siječnja 2019. godine</w:t>
      </w:r>
      <w:r w:rsidR="00841EEF">
        <w:rPr>
          <w:rFonts w:ascii="Times New Roman" w:hAnsi="Times New Roman"/>
          <w:sz w:val="24"/>
          <w:szCs w:val="24"/>
        </w:rPr>
        <w:t>.</w:t>
      </w:r>
    </w:p>
    <w:p w:rsidR="00682350" w:rsidRPr="0075616A" w:rsidRDefault="003A046D" w:rsidP="00682350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75616A">
        <w:rPr>
          <w:rFonts w:ascii="Times New Roman" w:hAnsi="Times New Roman"/>
          <w:sz w:val="24"/>
          <w:szCs w:val="24"/>
        </w:rPr>
        <w:t>Na temelju članka 48. Zakona o lokalnoj i područnoj (regionalnoj) samoupravi („Narodne novine“ br. 19/13, 137/15, 123/17</w:t>
      </w:r>
      <w:r w:rsidR="00841EEF">
        <w:rPr>
          <w:rFonts w:ascii="Times New Roman" w:hAnsi="Times New Roman"/>
          <w:sz w:val="24"/>
          <w:szCs w:val="24"/>
        </w:rPr>
        <w:t>, 98/19</w:t>
      </w:r>
      <w:r w:rsidRPr="0075616A">
        <w:rPr>
          <w:rFonts w:ascii="Times New Roman" w:hAnsi="Times New Roman"/>
          <w:sz w:val="24"/>
          <w:szCs w:val="24"/>
        </w:rPr>
        <w:t>) i čl. 46. Statuta Grada Šibenika Gradonačelnik grada Šibenika odluč</w:t>
      </w:r>
      <w:r w:rsidR="008208AC" w:rsidRPr="0075616A">
        <w:rPr>
          <w:rFonts w:ascii="Times New Roman" w:hAnsi="Times New Roman"/>
          <w:sz w:val="24"/>
          <w:szCs w:val="24"/>
        </w:rPr>
        <w:t xml:space="preserve">ivao je </w:t>
      </w:r>
      <w:r w:rsidRPr="0075616A">
        <w:rPr>
          <w:rFonts w:ascii="Times New Roman" w:hAnsi="Times New Roman"/>
          <w:sz w:val="24"/>
          <w:szCs w:val="24"/>
        </w:rPr>
        <w:t>o stjecanju i otuđivanju pokretnina i nekretnina, odnosno raspolaga</w:t>
      </w:r>
      <w:r w:rsidR="008208AC" w:rsidRPr="0075616A">
        <w:rPr>
          <w:rFonts w:ascii="Times New Roman" w:hAnsi="Times New Roman"/>
          <w:sz w:val="24"/>
          <w:szCs w:val="24"/>
        </w:rPr>
        <w:t>o</w:t>
      </w:r>
      <w:r w:rsidRPr="0075616A">
        <w:rPr>
          <w:rFonts w:ascii="Times New Roman" w:hAnsi="Times New Roman"/>
          <w:sz w:val="24"/>
          <w:szCs w:val="24"/>
        </w:rPr>
        <w:t xml:space="preserve"> ostalom imovinom čija pojedinačna vrijednost za 2019. godinu n</w:t>
      </w:r>
      <w:r w:rsidR="008208AC" w:rsidRPr="0075616A">
        <w:rPr>
          <w:rFonts w:ascii="Times New Roman" w:hAnsi="Times New Roman"/>
          <w:sz w:val="24"/>
          <w:szCs w:val="24"/>
        </w:rPr>
        <w:t>ije</w:t>
      </w:r>
      <w:r w:rsidRPr="0075616A">
        <w:rPr>
          <w:rFonts w:ascii="Times New Roman" w:hAnsi="Times New Roman"/>
          <w:sz w:val="24"/>
          <w:szCs w:val="24"/>
        </w:rPr>
        <w:t xml:space="preserve"> prelazi</w:t>
      </w:r>
      <w:r w:rsidR="008208AC" w:rsidRPr="0075616A">
        <w:rPr>
          <w:rFonts w:ascii="Times New Roman" w:hAnsi="Times New Roman"/>
          <w:sz w:val="24"/>
          <w:szCs w:val="24"/>
        </w:rPr>
        <w:t>la</w:t>
      </w:r>
      <w:r w:rsidRPr="0075616A">
        <w:rPr>
          <w:rFonts w:ascii="Times New Roman" w:hAnsi="Times New Roman"/>
          <w:sz w:val="24"/>
          <w:szCs w:val="24"/>
        </w:rPr>
        <w:t xml:space="preserve"> iznos od 959.863,81 kuna</w:t>
      </w:r>
      <w:r w:rsidR="00207C43" w:rsidRPr="0075616A">
        <w:rPr>
          <w:rFonts w:ascii="Times New Roman" w:hAnsi="Times New Roman"/>
          <w:sz w:val="24"/>
          <w:szCs w:val="24"/>
        </w:rPr>
        <w:t>.</w:t>
      </w:r>
      <w:r w:rsidR="00672BA4" w:rsidRPr="0075616A">
        <w:rPr>
          <w:rFonts w:ascii="Times New Roman" w:hAnsi="Times New Roman"/>
          <w:sz w:val="24"/>
          <w:szCs w:val="24"/>
        </w:rPr>
        <w:t xml:space="preserve"> U </w:t>
      </w:r>
      <w:r w:rsidRPr="0075616A">
        <w:rPr>
          <w:rFonts w:ascii="Times New Roman" w:hAnsi="Times New Roman"/>
          <w:sz w:val="24"/>
          <w:szCs w:val="24"/>
        </w:rPr>
        <w:t xml:space="preserve">2019. godini </w:t>
      </w:r>
      <w:r w:rsidR="00491649" w:rsidRPr="0075616A">
        <w:rPr>
          <w:rFonts w:ascii="Times New Roman" w:hAnsi="Times New Roman"/>
          <w:sz w:val="24"/>
          <w:szCs w:val="24"/>
        </w:rPr>
        <w:t>Tef-u d.d.</w:t>
      </w:r>
      <w:r w:rsidR="00207C43" w:rsidRPr="0075616A">
        <w:rPr>
          <w:rFonts w:ascii="Times New Roman" w:hAnsi="Times New Roman"/>
          <w:sz w:val="24"/>
          <w:szCs w:val="24"/>
        </w:rPr>
        <w:t xml:space="preserve"> je </w:t>
      </w:r>
      <w:r w:rsidR="007A21FE" w:rsidRPr="0075616A">
        <w:rPr>
          <w:rFonts w:ascii="Times New Roman" w:hAnsi="Times New Roman"/>
          <w:sz w:val="24"/>
          <w:szCs w:val="24"/>
        </w:rPr>
        <w:t>isplaćen</w:t>
      </w:r>
      <w:r w:rsidR="007408C5" w:rsidRPr="0075616A">
        <w:rPr>
          <w:rFonts w:ascii="Times New Roman" w:hAnsi="Times New Roman"/>
          <w:sz w:val="24"/>
          <w:szCs w:val="24"/>
        </w:rPr>
        <w:t xml:space="preserve">o </w:t>
      </w:r>
      <w:r w:rsidR="007A21FE" w:rsidRPr="0075616A">
        <w:rPr>
          <w:rFonts w:ascii="Times New Roman" w:hAnsi="Times New Roman"/>
          <w:sz w:val="24"/>
          <w:szCs w:val="24"/>
        </w:rPr>
        <w:t xml:space="preserve">950.000,00 kn </w:t>
      </w:r>
      <w:r w:rsidR="00F14111" w:rsidRPr="0075616A">
        <w:rPr>
          <w:rFonts w:ascii="Times New Roman" w:hAnsi="Times New Roman"/>
          <w:sz w:val="24"/>
          <w:szCs w:val="24"/>
        </w:rPr>
        <w:t xml:space="preserve">na </w:t>
      </w:r>
      <w:r w:rsidR="007A21FE" w:rsidRPr="0075616A">
        <w:rPr>
          <w:rFonts w:ascii="Times New Roman" w:hAnsi="Times New Roman"/>
          <w:sz w:val="24"/>
          <w:szCs w:val="24"/>
        </w:rPr>
        <w:t>osnovu Zaključka Gradonačelnika Grada Šibenika o odobrenju</w:t>
      </w:r>
      <w:r w:rsidRPr="0075616A">
        <w:rPr>
          <w:rFonts w:ascii="Times New Roman" w:hAnsi="Times New Roman"/>
          <w:sz w:val="24"/>
          <w:szCs w:val="24"/>
        </w:rPr>
        <w:t xml:space="preserve"> </w:t>
      </w:r>
      <w:r w:rsidR="00672BA4" w:rsidRPr="0075616A">
        <w:rPr>
          <w:rFonts w:ascii="Times New Roman" w:hAnsi="Times New Roman"/>
          <w:sz w:val="24"/>
          <w:szCs w:val="24"/>
        </w:rPr>
        <w:t xml:space="preserve">kratkoročne </w:t>
      </w:r>
      <w:r w:rsidR="007A21FE" w:rsidRPr="0075616A">
        <w:rPr>
          <w:rFonts w:ascii="Times New Roman" w:hAnsi="Times New Roman"/>
          <w:sz w:val="24"/>
          <w:szCs w:val="24"/>
        </w:rPr>
        <w:t>pozajmice (KLASA: 402-01/18-01/60, URBROJ: 2182/01-07/1-19-2) i Ugovora o zajmu i sporazuma radi osiguranja novčane tražbine</w:t>
      </w:r>
      <w:r w:rsidR="001B22CF" w:rsidRPr="0075616A">
        <w:rPr>
          <w:rFonts w:ascii="Times New Roman" w:hAnsi="Times New Roman"/>
          <w:sz w:val="24"/>
          <w:szCs w:val="24"/>
        </w:rPr>
        <w:t xml:space="preserve"> prijenosom vlasništva</w:t>
      </w:r>
      <w:r w:rsidR="00672BA4" w:rsidRPr="0075616A">
        <w:rPr>
          <w:rFonts w:ascii="Times New Roman" w:hAnsi="Times New Roman"/>
          <w:sz w:val="24"/>
          <w:szCs w:val="24"/>
        </w:rPr>
        <w:t xml:space="preserve"> ukoliko se pozajmica ne vrati u roku godine dana</w:t>
      </w:r>
      <w:r w:rsidR="007A21FE" w:rsidRPr="0075616A">
        <w:rPr>
          <w:rFonts w:ascii="Times New Roman" w:hAnsi="Times New Roman"/>
          <w:sz w:val="24"/>
          <w:szCs w:val="24"/>
        </w:rPr>
        <w:t xml:space="preserve"> (KLASA:</w:t>
      </w:r>
      <w:r w:rsidR="008B2E99" w:rsidRPr="0075616A">
        <w:rPr>
          <w:rFonts w:ascii="Times New Roman" w:hAnsi="Times New Roman"/>
          <w:sz w:val="24"/>
          <w:szCs w:val="24"/>
        </w:rPr>
        <w:t xml:space="preserve"> </w:t>
      </w:r>
      <w:r w:rsidR="007A21FE" w:rsidRPr="0075616A">
        <w:rPr>
          <w:rFonts w:ascii="Times New Roman" w:hAnsi="Times New Roman"/>
          <w:sz w:val="24"/>
          <w:szCs w:val="24"/>
        </w:rPr>
        <w:t>942-01/19-01/60, URBROJ: 2182/01-07-19-3)</w:t>
      </w:r>
      <w:r w:rsidR="005F78B4" w:rsidRPr="0075616A">
        <w:rPr>
          <w:rFonts w:ascii="Times New Roman" w:hAnsi="Times New Roman"/>
          <w:sz w:val="24"/>
          <w:szCs w:val="24"/>
        </w:rPr>
        <w:t xml:space="preserve"> pa je ukupni saldo potraživanja Grada prema TEF- u d.d. na datum 31. prosinca 2019. godine </w:t>
      </w:r>
      <w:r w:rsidR="00672BA4" w:rsidRPr="0075616A">
        <w:rPr>
          <w:rFonts w:ascii="Times New Roman" w:hAnsi="Times New Roman"/>
          <w:sz w:val="24"/>
          <w:szCs w:val="24"/>
        </w:rPr>
        <w:t xml:space="preserve"> odnosno 01. siječnja 2020. ukupno iznosio </w:t>
      </w:r>
      <w:r w:rsidR="005F78B4" w:rsidRPr="0075616A">
        <w:rPr>
          <w:rFonts w:ascii="Times New Roman" w:hAnsi="Times New Roman"/>
          <w:sz w:val="24"/>
          <w:szCs w:val="24"/>
        </w:rPr>
        <w:t>1.970.439,44 kn</w:t>
      </w:r>
      <w:r w:rsidR="0066726F" w:rsidRPr="0075616A">
        <w:rPr>
          <w:rFonts w:ascii="Times New Roman" w:hAnsi="Times New Roman"/>
          <w:sz w:val="24"/>
          <w:szCs w:val="24"/>
        </w:rPr>
        <w:t>.</w:t>
      </w:r>
    </w:p>
    <w:p w:rsidR="00682350" w:rsidRDefault="00672BA4" w:rsidP="0076173C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75616A">
        <w:rPr>
          <w:rFonts w:ascii="Times New Roman" w:hAnsi="Times New Roman"/>
          <w:sz w:val="24"/>
          <w:szCs w:val="24"/>
        </w:rPr>
        <w:t xml:space="preserve">Nastavno na navedeno, uvidom u evidenciju vjerovnika (Grad Šibenik) utvrđeno je da dužnik (Tef d.d.) u roku </w:t>
      </w:r>
      <w:r w:rsidR="00682350" w:rsidRPr="0075616A">
        <w:rPr>
          <w:rFonts w:ascii="Times New Roman" w:hAnsi="Times New Roman"/>
          <w:sz w:val="24"/>
          <w:szCs w:val="24"/>
        </w:rPr>
        <w:t xml:space="preserve">od jedne godine od sklapanja gore navedenih kratkoročnih pozajmica nije vratio pozajmljeni iznos </w:t>
      </w:r>
      <w:r w:rsidR="00A97475" w:rsidRPr="0075616A">
        <w:rPr>
          <w:rFonts w:ascii="Times New Roman" w:hAnsi="Times New Roman"/>
          <w:sz w:val="24"/>
          <w:szCs w:val="24"/>
        </w:rPr>
        <w:t xml:space="preserve"> uvećan za pripadajuću zakonsku kamatu od 4,55% </w:t>
      </w:r>
      <w:r w:rsidR="00682350" w:rsidRPr="0075616A">
        <w:rPr>
          <w:rFonts w:ascii="Times New Roman" w:hAnsi="Times New Roman"/>
          <w:sz w:val="24"/>
          <w:szCs w:val="24"/>
        </w:rPr>
        <w:t xml:space="preserve">te je Grad  Šibenik postupio sukladno </w:t>
      </w:r>
      <w:r w:rsidR="00A97475" w:rsidRPr="0075616A">
        <w:rPr>
          <w:rFonts w:ascii="Times New Roman" w:hAnsi="Times New Roman"/>
          <w:sz w:val="24"/>
          <w:szCs w:val="24"/>
        </w:rPr>
        <w:t xml:space="preserve">gore navedenim </w:t>
      </w:r>
      <w:r w:rsidR="00682350" w:rsidRPr="0075616A">
        <w:rPr>
          <w:rFonts w:ascii="Times New Roman" w:hAnsi="Times New Roman"/>
          <w:sz w:val="24"/>
          <w:szCs w:val="24"/>
        </w:rPr>
        <w:t>Ugovor</w:t>
      </w:r>
      <w:r w:rsidR="00A97475" w:rsidRPr="0075616A">
        <w:rPr>
          <w:rFonts w:ascii="Times New Roman" w:hAnsi="Times New Roman"/>
          <w:sz w:val="24"/>
          <w:szCs w:val="24"/>
        </w:rPr>
        <w:t>ima</w:t>
      </w:r>
      <w:r w:rsidR="00682350" w:rsidRPr="0075616A">
        <w:rPr>
          <w:rFonts w:ascii="Times New Roman" w:hAnsi="Times New Roman"/>
          <w:sz w:val="24"/>
          <w:szCs w:val="24"/>
        </w:rPr>
        <w:t xml:space="preserve"> te Sporazumu</w:t>
      </w:r>
      <w:r w:rsidR="00D8563C">
        <w:rPr>
          <w:rFonts w:ascii="Times New Roman" w:hAnsi="Times New Roman"/>
          <w:sz w:val="24"/>
          <w:szCs w:val="24"/>
        </w:rPr>
        <w:t xml:space="preserve"> o uređenju međusobnih odnosa (</w:t>
      </w:r>
      <w:r w:rsidR="00682350" w:rsidRPr="0075616A">
        <w:rPr>
          <w:rFonts w:ascii="Times New Roman" w:hAnsi="Times New Roman"/>
          <w:sz w:val="24"/>
          <w:szCs w:val="24"/>
        </w:rPr>
        <w:t>KLASA: 940-01/19-01/180, URBROJ: 2182/01-06-19-2) od 07. svibnj</w:t>
      </w:r>
      <w:r w:rsidR="00D8563C">
        <w:rPr>
          <w:rFonts w:ascii="Times New Roman" w:hAnsi="Times New Roman"/>
          <w:sz w:val="24"/>
          <w:szCs w:val="24"/>
        </w:rPr>
        <w:t>a 2020. godine na način da se u</w:t>
      </w:r>
      <w:r w:rsidR="00682350" w:rsidRPr="0075616A">
        <w:rPr>
          <w:rFonts w:ascii="Times New Roman" w:hAnsi="Times New Roman"/>
          <w:sz w:val="24"/>
          <w:szCs w:val="24"/>
        </w:rPr>
        <w:t xml:space="preserve"> zemljišne knjige upiše prijenos prava vlasništva nekretnine označene kao kat. </w:t>
      </w:r>
      <w:r w:rsidR="00A97475" w:rsidRPr="0075616A">
        <w:rPr>
          <w:rFonts w:ascii="Times New Roman" w:hAnsi="Times New Roman"/>
          <w:sz w:val="24"/>
          <w:szCs w:val="24"/>
        </w:rPr>
        <w:t>č</w:t>
      </w:r>
      <w:r w:rsidR="00682350" w:rsidRPr="0075616A">
        <w:rPr>
          <w:rFonts w:ascii="Times New Roman" w:hAnsi="Times New Roman"/>
          <w:sz w:val="24"/>
          <w:szCs w:val="24"/>
        </w:rPr>
        <w:t>estica 685/</w:t>
      </w:r>
      <w:r w:rsidR="00B13A7F">
        <w:rPr>
          <w:rFonts w:ascii="Times New Roman" w:hAnsi="Times New Roman"/>
          <w:sz w:val="24"/>
          <w:szCs w:val="24"/>
        </w:rPr>
        <w:t>34</w:t>
      </w:r>
      <w:r w:rsidR="00682350" w:rsidRPr="0075616A">
        <w:rPr>
          <w:rFonts w:ascii="Times New Roman" w:hAnsi="Times New Roman"/>
          <w:sz w:val="24"/>
          <w:szCs w:val="24"/>
        </w:rPr>
        <w:t xml:space="preserve"> Z.U. 3493 K.O. Šibenik, Tvornica, površine 262 </w:t>
      </w:r>
      <w:r w:rsidR="00F443A2" w:rsidRPr="0075616A">
        <w:rPr>
          <w:rFonts w:ascii="Times New Roman" w:hAnsi="Times New Roman"/>
          <w:color w:val="000000"/>
          <w:sz w:val="24"/>
          <w:szCs w:val="24"/>
          <w:shd w:val="clear" w:color="auto" w:fill="F6F6F6"/>
        </w:rPr>
        <w:t>m</w:t>
      </w:r>
      <w:r w:rsidR="00F443A2" w:rsidRPr="0075616A">
        <w:rPr>
          <w:rFonts w:ascii="Times New Roman" w:hAnsi="Times New Roman"/>
          <w:color w:val="000000"/>
          <w:sz w:val="24"/>
          <w:szCs w:val="24"/>
          <w:shd w:val="clear" w:color="auto" w:fill="F6F6F6"/>
          <w:vertAlign w:val="superscript"/>
        </w:rPr>
        <w:t>2</w:t>
      </w:r>
      <w:r w:rsidR="00682350" w:rsidRPr="0075616A">
        <w:rPr>
          <w:rFonts w:ascii="Times New Roman" w:hAnsi="Times New Roman"/>
          <w:sz w:val="24"/>
          <w:szCs w:val="24"/>
        </w:rPr>
        <w:t xml:space="preserve"> </w:t>
      </w:r>
      <w:r w:rsidR="00A97475" w:rsidRPr="0075616A">
        <w:rPr>
          <w:rFonts w:ascii="Times New Roman" w:hAnsi="Times New Roman"/>
          <w:sz w:val="24"/>
          <w:szCs w:val="24"/>
        </w:rPr>
        <w:t xml:space="preserve">, sukladno Elaboratu procjene tržišne vrijednosti nekretnina (zgrada) u vlasništvu poduzeća Tef d.d. od veljače 2018. godine. Nakon </w:t>
      </w:r>
      <w:r w:rsidR="0082119F" w:rsidRPr="0075616A">
        <w:rPr>
          <w:rFonts w:ascii="Times New Roman" w:hAnsi="Times New Roman"/>
          <w:sz w:val="24"/>
          <w:szCs w:val="24"/>
        </w:rPr>
        <w:t>evidentiranja poslovnih događaja u pos</w:t>
      </w:r>
      <w:r w:rsidR="00780B5E" w:rsidRPr="0075616A">
        <w:rPr>
          <w:rFonts w:ascii="Times New Roman" w:hAnsi="Times New Roman"/>
          <w:sz w:val="24"/>
          <w:szCs w:val="24"/>
        </w:rPr>
        <w:t>lov</w:t>
      </w:r>
      <w:r w:rsidR="0082119F" w:rsidRPr="0075616A">
        <w:rPr>
          <w:rFonts w:ascii="Times New Roman" w:hAnsi="Times New Roman"/>
          <w:sz w:val="24"/>
          <w:szCs w:val="24"/>
        </w:rPr>
        <w:t>nim knjigama Grada Šibenika</w:t>
      </w:r>
      <w:r w:rsidR="00A97475" w:rsidRPr="0075616A">
        <w:rPr>
          <w:rFonts w:ascii="Times New Roman" w:hAnsi="Times New Roman"/>
          <w:sz w:val="24"/>
          <w:szCs w:val="24"/>
        </w:rPr>
        <w:t xml:space="preserve">, saldo potraživanja na </w:t>
      </w:r>
      <w:r w:rsidR="00A97475" w:rsidRPr="00783BDD">
        <w:rPr>
          <w:rFonts w:ascii="Times New Roman" w:hAnsi="Times New Roman"/>
          <w:sz w:val="24"/>
          <w:szCs w:val="24"/>
        </w:rPr>
        <w:t>datum 3</w:t>
      </w:r>
      <w:r w:rsidR="008673E5" w:rsidRPr="00783BDD">
        <w:rPr>
          <w:rFonts w:ascii="Times New Roman" w:hAnsi="Times New Roman"/>
          <w:sz w:val="24"/>
          <w:szCs w:val="24"/>
        </w:rPr>
        <w:t>1</w:t>
      </w:r>
      <w:r w:rsidR="00A97475" w:rsidRPr="00783BDD">
        <w:rPr>
          <w:rFonts w:ascii="Times New Roman" w:hAnsi="Times New Roman"/>
          <w:sz w:val="24"/>
          <w:szCs w:val="24"/>
        </w:rPr>
        <w:t xml:space="preserve">. </w:t>
      </w:r>
      <w:r w:rsidR="008673E5" w:rsidRPr="00783BDD">
        <w:rPr>
          <w:rFonts w:ascii="Times New Roman" w:hAnsi="Times New Roman"/>
          <w:sz w:val="24"/>
          <w:szCs w:val="24"/>
        </w:rPr>
        <w:t>prosinca</w:t>
      </w:r>
      <w:r w:rsidR="00A97475" w:rsidRPr="00783BDD">
        <w:rPr>
          <w:rFonts w:ascii="Times New Roman" w:hAnsi="Times New Roman"/>
          <w:sz w:val="24"/>
          <w:szCs w:val="24"/>
        </w:rPr>
        <w:t xml:space="preserve"> 2020. ukupno iznosi 950.000,00 kn.</w:t>
      </w:r>
    </w:p>
    <w:p w:rsidR="009C3C02" w:rsidRPr="00B52C37" w:rsidRDefault="00AB2C45" w:rsidP="00183EB2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  <w:r w:rsidRPr="00682350">
        <w:rPr>
          <w:rFonts w:ascii="Times New Roman" w:hAnsi="Times New Roman"/>
          <w:b/>
          <w:bCs/>
          <w:sz w:val="24"/>
          <w:szCs w:val="24"/>
        </w:rPr>
        <w:t>Agencija za pravni promet i posredovanje nekretninama (</w:t>
      </w:r>
      <w:r w:rsidR="009C3C02" w:rsidRPr="00682350">
        <w:rPr>
          <w:rFonts w:ascii="Times New Roman" w:hAnsi="Times New Roman"/>
          <w:b/>
          <w:bCs/>
          <w:sz w:val="24"/>
          <w:szCs w:val="24"/>
        </w:rPr>
        <w:t xml:space="preserve">dalje: </w:t>
      </w:r>
      <w:r w:rsidRPr="00682350">
        <w:rPr>
          <w:rFonts w:ascii="Times New Roman" w:hAnsi="Times New Roman"/>
          <w:b/>
          <w:bCs/>
          <w:sz w:val="24"/>
          <w:szCs w:val="24"/>
        </w:rPr>
        <w:t>APN)</w:t>
      </w:r>
      <w:r w:rsidRPr="00682350">
        <w:rPr>
          <w:rFonts w:ascii="Times New Roman" w:hAnsi="Times New Roman"/>
          <w:sz w:val="24"/>
          <w:szCs w:val="24"/>
        </w:rPr>
        <w:t xml:space="preserve"> – u izvještajnom razdoblju od 01. siječnja do 3</w:t>
      </w:r>
      <w:r w:rsidR="00284486">
        <w:rPr>
          <w:rFonts w:ascii="Times New Roman" w:hAnsi="Times New Roman"/>
          <w:sz w:val="24"/>
          <w:szCs w:val="24"/>
        </w:rPr>
        <w:t>1</w:t>
      </w:r>
      <w:r w:rsidRPr="00682350">
        <w:rPr>
          <w:rFonts w:ascii="Times New Roman" w:hAnsi="Times New Roman"/>
          <w:sz w:val="24"/>
          <w:szCs w:val="24"/>
        </w:rPr>
        <w:t xml:space="preserve">. </w:t>
      </w:r>
      <w:r w:rsidR="00284486">
        <w:rPr>
          <w:rFonts w:ascii="Times New Roman" w:hAnsi="Times New Roman"/>
          <w:sz w:val="24"/>
          <w:szCs w:val="24"/>
        </w:rPr>
        <w:t>prosinca</w:t>
      </w:r>
      <w:r w:rsidRPr="00682350">
        <w:rPr>
          <w:rFonts w:ascii="Times New Roman" w:hAnsi="Times New Roman"/>
          <w:sz w:val="24"/>
          <w:szCs w:val="24"/>
        </w:rPr>
        <w:t xml:space="preserve"> 20</w:t>
      </w:r>
      <w:r w:rsidR="006504E3" w:rsidRPr="00682350">
        <w:rPr>
          <w:rFonts w:ascii="Times New Roman" w:hAnsi="Times New Roman"/>
          <w:sz w:val="24"/>
          <w:szCs w:val="24"/>
        </w:rPr>
        <w:t>20</w:t>
      </w:r>
      <w:r w:rsidR="00183EB2">
        <w:rPr>
          <w:rFonts w:ascii="Times New Roman" w:hAnsi="Times New Roman"/>
          <w:sz w:val="24"/>
          <w:szCs w:val="24"/>
        </w:rPr>
        <w:t xml:space="preserve">. </w:t>
      </w:r>
      <w:r w:rsidR="009C3C02" w:rsidRPr="00682350">
        <w:rPr>
          <w:rFonts w:ascii="Times New Roman" w:hAnsi="Times New Roman"/>
          <w:sz w:val="24"/>
          <w:szCs w:val="24"/>
        </w:rPr>
        <w:t>APN</w:t>
      </w:r>
      <w:r w:rsidRPr="00682350">
        <w:rPr>
          <w:rFonts w:ascii="Times New Roman" w:hAnsi="Times New Roman"/>
          <w:sz w:val="24"/>
          <w:szCs w:val="24"/>
        </w:rPr>
        <w:t xml:space="preserve"> je Gradu Šibeniku doznači</w:t>
      </w:r>
      <w:r w:rsidR="009C3C02" w:rsidRPr="00682350">
        <w:rPr>
          <w:rFonts w:ascii="Times New Roman" w:hAnsi="Times New Roman"/>
          <w:sz w:val="24"/>
          <w:szCs w:val="24"/>
        </w:rPr>
        <w:t>o</w:t>
      </w:r>
      <w:r w:rsidRPr="00682350">
        <w:rPr>
          <w:rFonts w:ascii="Times New Roman" w:hAnsi="Times New Roman"/>
          <w:sz w:val="24"/>
          <w:szCs w:val="24"/>
        </w:rPr>
        <w:t xml:space="preserve"> </w:t>
      </w:r>
      <w:r w:rsidR="009C3C02" w:rsidRPr="00682350">
        <w:rPr>
          <w:rFonts w:ascii="Times New Roman" w:hAnsi="Times New Roman"/>
          <w:sz w:val="24"/>
          <w:szCs w:val="24"/>
        </w:rPr>
        <w:t xml:space="preserve">ukupan </w:t>
      </w:r>
      <w:r w:rsidRPr="00682350">
        <w:rPr>
          <w:rFonts w:ascii="Times New Roman" w:hAnsi="Times New Roman"/>
          <w:sz w:val="24"/>
          <w:szCs w:val="24"/>
        </w:rPr>
        <w:t xml:space="preserve">iznos </w:t>
      </w:r>
      <w:r w:rsidR="00183EB2">
        <w:rPr>
          <w:rFonts w:ascii="Times New Roman" w:hAnsi="Times New Roman"/>
          <w:sz w:val="24"/>
          <w:szCs w:val="24"/>
        </w:rPr>
        <w:t xml:space="preserve">od </w:t>
      </w:r>
      <w:r w:rsidR="00284486" w:rsidRPr="00B52C37">
        <w:rPr>
          <w:rFonts w:ascii="Times New Roman" w:hAnsi="Times New Roman"/>
          <w:sz w:val="24"/>
          <w:szCs w:val="24"/>
        </w:rPr>
        <w:t>351.961,99</w:t>
      </w:r>
      <w:r w:rsidR="00FD4E82" w:rsidRPr="00B52C37">
        <w:rPr>
          <w:rFonts w:ascii="Times New Roman" w:hAnsi="Times New Roman"/>
          <w:sz w:val="24"/>
          <w:szCs w:val="24"/>
        </w:rPr>
        <w:t xml:space="preserve"> </w:t>
      </w:r>
      <w:r w:rsidR="009C3C02" w:rsidRPr="00B52C37">
        <w:rPr>
          <w:rFonts w:ascii="Times New Roman" w:hAnsi="Times New Roman"/>
          <w:sz w:val="24"/>
          <w:szCs w:val="24"/>
        </w:rPr>
        <w:t>kn</w:t>
      </w:r>
      <w:r w:rsidR="009652F2" w:rsidRPr="00B52C37">
        <w:rPr>
          <w:rFonts w:ascii="Times New Roman" w:hAnsi="Times New Roman"/>
          <w:sz w:val="24"/>
          <w:szCs w:val="24"/>
        </w:rPr>
        <w:t>.</w:t>
      </w:r>
    </w:p>
    <w:p w:rsidR="00D3021E" w:rsidRDefault="009C3C02" w:rsidP="00240DEA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Naime, prema čl. 29. stavak 3. Zakona o društveno poticanoj stanogradnji („Narodne novine“ br. 109/01, 82/04, 76/07, 38/09, 86/12, 7/13 i 2/15) sredstva od prodaje stanova koja pripadaju Gradu Šibeniku, APN doznačava u Proračun Grada iznose prema izvršenim uplatama kupaca, </w:t>
      </w:r>
      <w:r w:rsidR="00183EB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u pravilu tromjesečno. Sukladno tome, APN dostavlja specifikacije uplata, odnosno povrata za građevinu u Šibeniku, za koju su kupci, prema potpisanim kupoprodajnim ugovorima, te planu otplate </w:t>
      </w:r>
      <w:r w:rsidR="00F86671">
        <w:rPr>
          <w:rFonts w:ascii="Times New Roman" w:hAnsi="Times New Roman"/>
          <w:sz w:val="24"/>
          <w:szCs w:val="24"/>
        </w:rPr>
        <w:t xml:space="preserve">(povrat Gradu Šibeniku i Republici Hrvatskoj) </w:t>
      </w:r>
      <w:r>
        <w:rPr>
          <w:rFonts w:ascii="Times New Roman" w:hAnsi="Times New Roman"/>
          <w:sz w:val="24"/>
          <w:szCs w:val="24"/>
        </w:rPr>
        <w:t>počeli obročnu otplatu ili su isplatili stan u cijelosti.</w:t>
      </w:r>
    </w:p>
    <w:p w:rsidR="00D3021E" w:rsidRDefault="00D3021E" w:rsidP="00D3021E">
      <w:pPr>
        <w:rPr>
          <w:rFonts w:ascii="Times New Roman" w:hAnsi="Times New Roman"/>
          <w:sz w:val="24"/>
          <w:szCs w:val="24"/>
        </w:rPr>
      </w:pPr>
    </w:p>
    <w:tbl>
      <w:tblPr>
        <w:tblW w:w="11771" w:type="dxa"/>
        <w:tblInd w:w="1098" w:type="dxa"/>
        <w:tblLook w:val="04A0"/>
      </w:tblPr>
      <w:tblGrid>
        <w:gridCol w:w="727"/>
        <w:gridCol w:w="4544"/>
        <w:gridCol w:w="3113"/>
        <w:gridCol w:w="6"/>
        <w:gridCol w:w="1890"/>
        <w:gridCol w:w="1491"/>
      </w:tblGrid>
      <w:tr w:rsidR="00D3021E" w:rsidRPr="00C46338" w:rsidTr="000B3847">
        <w:trPr>
          <w:trHeight w:val="330"/>
        </w:trPr>
        <w:tc>
          <w:tcPr>
            <w:tcW w:w="11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3021E" w:rsidRPr="00C46338" w:rsidRDefault="00D3021E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POTRAŽIVANJA PO DANIM ZAJMOVIMA </w: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(pozajmica) – TVRĐAVA KULTURE</w:t>
            </w:r>
          </w:p>
        </w:tc>
      </w:tr>
      <w:tr w:rsidR="00D3021E" w:rsidRPr="00C46338" w:rsidTr="003F64A2">
        <w:trPr>
          <w:trHeight w:val="3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1E" w:rsidRPr="00C46338" w:rsidRDefault="00D3021E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21E" w:rsidRPr="00C46338" w:rsidRDefault="00D3021E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6500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21E" w:rsidRPr="00C46338" w:rsidRDefault="00D3021E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Valuta </w:t>
            </w: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br/>
              <w:t>HRK</w:t>
            </w:r>
          </w:p>
        </w:tc>
      </w:tr>
      <w:tr w:rsidR="00D3021E" w:rsidRPr="00C46338" w:rsidTr="003F64A2">
        <w:trPr>
          <w:trHeight w:val="58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1E" w:rsidRPr="00C46338" w:rsidRDefault="00D3021E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13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21E" w:rsidRPr="00C46338" w:rsidRDefault="00D3021E" w:rsidP="0091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Zajmovi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trgovačkim društvima i obrtnicima izvan javnog sektora – kratkoročni </w:t>
            </w:r>
          </w:p>
        </w:tc>
        <w:tc>
          <w:tcPr>
            <w:tcW w:w="6500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21E" w:rsidRPr="00C46338" w:rsidRDefault="00D3021E" w:rsidP="0091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3021E" w:rsidRPr="00C46338" w:rsidTr="003F64A2">
        <w:trPr>
          <w:trHeight w:val="3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1E" w:rsidRPr="00C46338" w:rsidRDefault="00D3021E" w:rsidP="00912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1E" w:rsidRPr="00C46338" w:rsidRDefault="00D3021E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1E" w:rsidRPr="00C46338" w:rsidRDefault="00D3021E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1E" w:rsidRPr="00C46338" w:rsidRDefault="00D3021E" w:rsidP="00912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21E" w:rsidRPr="00C46338" w:rsidRDefault="00D3021E" w:rsidP="00912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3021E" w:rsidRPr="00C46338" w:rsidTr="003F64A2">
        <w:trPr>
          <w:trHeight w:val="57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21E" w:rsidRPr="00C46338" w:rsidRDefault="00D3021E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Red. broj</w:t>
            </w:r>
          </w:p>
        </w:tc>
        <w:tc>
          <w:tcPr>
            <w:tcW w:w="4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1E" w:rsidRPr="00C46338" w:rsidRDefault="00D3021E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Dužnik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21E" w:rsidRPr="00C46338" w:rsidRDefault="00D3021E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Stanje ukupnih potraživanja na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0</w:t>
            </w: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01</w:t>
            </w: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20</w:t>
            </w: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21E" w:rsidRPr="00C46338" w:rsidRDefault="00D3021E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Stanje ukupnih potraživanja na </w:t>
            </w:r>
            <w:r w:rsidRPr="00E517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31.12.2020.</w:t>
            </w:r>
          </w:p>
        </w:tc>
      </w:tr>
      <w:tr w:rsidR="00D3021E" w:rsidRPr="00C46338" w:rsidTr="003F64A2">
        <w:trPr>
          <w:trHeight w:val="3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21E" w:rsidRPr="00C46338" w:rsidRDefault="00D3021E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1E" w:rsidRPr="00C46338" w:rsidRDefault="00B97A75" w:rsidP="009121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E517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Fortifikacije d.o.o.</w:t>
            </w:r>
            <w:r w:rsidR="00D3021E" w:rsidRPr="00E517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(Kratkoročna pozajmica)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1E" w:rsidRPr="00C46338" w:rsidRDefault="00824964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470.000,00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21E" w:rsidRPr="00C46338" w:rsidRDefault="00674CA7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630.000,00</w:t>
            </w:r>
          </w:p>
        </w:tc>
      </w:tr>
      <w:tr w:rsidR="00D3021E" w:rsidRPr="00C46338" w:rsidTr="003F7F24">
        <w:trPr>
          <w:trHeight w:val="330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21E" w:rsidRPr="00C46338" w:rsidRDefault="00D3021E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C463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PROMET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021E" w:rsidRPr="00C46338" w:rsidRDefault="00824964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470.000,00</w:t>
            </w:r>
          </w:p>
        </w:tc>
        <w:tc>
          <w:tcPr>
            <w:tcW w:w="3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021E" w:rsidRPr="009A0F42" w:rsidRDefault="00674CA7" w:rsidP="00912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630.000,00</w:t>
            </w:r>
          </w:p>
        </w:tc>
      </w:tr>
    </w:tbl>
    <w:p w:rsidR="00D3021E" w:rsidRDefault="00D3021E" w:rsidP="004662DD">
      <w:pPr>
        <w:ind w:left="1068"/>
        <w:jc w:val="both"/>
        <w:rPr>
          <w:rFonts w:ascii="Times New Roman" w:hAnsi="Times New Roman"/>
          <w:sz w:val="24"/>
          <w:szCs w:val="24"/>
        </w:rPr>
      </w:pPr>
    </w:p>
    <w:p w:rsidR="00200AA1" w:rsidRDefault="00200AA1" w:rsidP="004662DD">
      <w:pPr>
        <w:ind w:left="1068"/>
        <w:jc w:val="both"/>
        <w:rPr>
          <w:rFonts w:ascii="Times New Roman" w:hAnsi="Times New Roman"/>
          <w:sz w:val="24"/>
          <w:szCs w:val="24"/>
        </w:rPr>
      </w:pPr>
    </w:p>
    <w:p w:rsidR="0098129D" w:rsidRDefault="00200AA1" w:rsidP="001533FF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200AA1">
        <w:rPr>
          <w:rFonts w:ascii="Times New Roman" w:hAnsi="Times New Roman"/>
          <w:b/>
          <w:bCs/>
          <w:sz w:val="24"/>
          <w:szCs w:val="24"/>
        </w:rPr>
        <w:t>Fortifikacije d.o.o</w:t>
      </w:r>
      <w:r w:rsidRPr="00200AA1">
        <w:rPr>
          <w:rFonts w:ascii="Times New Roman" w:hAnsi="Times New Roman"/>
          <w:sz w:val="24"/>
          <w:szCs w:val="24"/>
        </w:rPr>
        <w:t xml:space="preserve">. - U sklopu </w:t>
      </w:r>
      <w:r w:rsidR="007A2E22">
        <w:rPr>
          <w:rFonts w:ascii="Times New Roman" w:hAnsi="Times New Roman"/>
          <w:sz w:val="24"/>
          <w:szCs w:val="24"/>
        </w:rPr>
        <w:t>projekta r</w:t>
      </w:r>
      <w:r w:rsidRPr="00200AA1">
        <w:rPr>
          <w:rFonts w:ascii="Times New Roman" w:hAnsi="Times New Roman"/>
          <w:sz w:val="24"/>
          <w:szCs w:val="24"/>
        </w:rPr>
        <w:t>evitalizacije Tvrđave Barone čija je obnova financirana EU sredstvima specifični je cilj projekta promoviranje malog i srednjeg poduzetništva u turističkom sektoru (lokalni proizvođači),</w:t>
      </w:r>
      <w:r w:rsidR="00C508F4">
        <w:rPr>
          <w:rFonts w:ascii="Times New Roman" w:hAnsi="Times New Roman"/>
          <w:sz w:val="24"/>
          <w:szCs w:val="24"/>
        </w:rPr>
        <w:t xml:space="preserve"> </w:t>
      </w:r>
      <w:r w:rsidR="001533FF">
        <w:rPr>
          <w:rFonts w:ascii="Times New Roman" w:hAnsi="Times New Roman"/>
          <w:sz w:val="24"/>
          <w:szCs w:val="24"/>
        </w:rPr>
        <w:t xml:space="preserve">odnosno </w:t>
      </w:r>
      <w:r w:rsidRPr="00200AA1">
        <w:rPr>
          <w:rFonts w:ascii="Times New Roman" w:hAnsi="Times New Roman"/>
          <w:sz w:val="24"/>
          <w:szCs w:val="24"/>
        </w:rPr>
        <w:t xml:space="preserve">osmišljen je gastro-kulturni centar (ugostiteljski objekt i suvenirnica). </w:t>
      </w:r>
    </w:p>
    <w:p w:rsidR="00D27701" w:rsidRDefault="00200AA1" w:rsidP="001533FF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200AA1">
        <w:rPr>
          <w:rFonts w:ascii="Times New Roman" w:hAnsi="Times New Roman"/>
          <w:sz w:val="24"/>
          <w:szCs w:val="24"/>
        </w:rPr>
        <w:t xml:space="preserve">Obzirom da se </w:t>
      </w:r>
      <w:r w:rsidR="001533FF">
        <w:rPr>
          <w:rFonts w:ascii="Times New Roman" w:hAnsi="Times New Roman"/>
          <w:sz w:val="24"/>
          <w:szCs w:val="24"/>
        </w:rPr>
        <w:t>Tvrđava kulture</w:t>
      </w:r>
      <w:r w:rsidR="0044302C">
        <w:rPr>
          <w:rFonts w:ascii="Times New Roman" w:hAnsi="Times New Roman"/>
          <w:sz w:val="24"/>
          <w:szCs w:val="24"/>
        </w:rPr>
        <w:t xml:space="preserve"> (dalje: Ustanova)</w:t>
      </w:r>
      <w:r w:rsidR="001533FF">
        <w:rPr>
          <w:rFonts w:ascii="Times New Roman" w:hAnsi="Times New Roman"/>
          <w:sz w:val="24"/>
          <w:szCs w:val="24"/>
        </w:rPr>
        <w:t xml:space="preserve"> kao j</w:t>
      </w:r>
      <w:r w:rsidRPr="00200AA1">
        <w:rPr>
          <w:rFonts w:ascii="Times New Roman" w:hAnsi="Times New Roman"/>
          <w:sz w:val="24"/>
          <w:szCs w:val="24"/>
        </w:rPr>
        <w:t xml:space="preserve">avna </w:t>
      </w:r>
      <w:r w:rsidR="001533FF">
        <w:rPr>
          <w:rFonts w:ascii="Times New Roman" w:hAnsi="Times New Roman"/>
          <w:sz w:val="24"/>
          <w:szCs w:val="24"/>
        </w:rPr>
        <w:t>u</w:t>
      </w:r>
      <w:r w:rsidRPr="00200AA1">
        <w:rPr>
          <w:rFonts w:ascii="Times New Roman" w:hAnsi="Times New Roman"/>
          <w:sz w:val="24"/>
          <w:szCs w:val="24"/>
        </w:rPr>
        <w:t>stanova u kulturi u sklopu svoje djelatnosti nije mogla registrirati za pružanje usluga u ugostiteljstvu, Ustanova je uz izglasavanje odobrenja od strane Upravnog i Gradskog vijeća (Izjava o davanju suglasnosti od 20.</w:t>
      </w:r>
      <w:r w:rsidR="00EE0639">
        <w:rPr>
          <w:rFonts w:ascii="Times New Roman" w:hAnsi="Times New Roman"/>
          <w:sz w:val="24"/>
          <w:szCs w:val="24"/>
        </w:rPr>
        <w:t xml:space="preserve"> </w:t>
      </w:r>
      <w:r w:rsidRPr="00200AA1">
        <w:rPr>
          <w:rFonts w:ascii="Times New Roman" w:hAnsi="Times New Roman"/>
          <w:sz w:val="24"/>
          <w:szCs w:val="24"/>
        </w:rPr>
        <w:t>srpnja 2016.</w:t>
      </w:r>
      <w:r w:rsidR="00EE0639">
        <w:rPr>
          <w:rFonts w:ascii="Times New Roman" w:hAnsi="Times New Roman"/>
          <w:sz w:val="24"/>
          <w:szCs w:val="24"/>
        </w:rPr>
        <w:t xml:space="preserve"> godine</w:t>
      </w:r>
      <w:r w:rsidRPr="00200AA1">
        <w:rPr>
          <w:rFonts w:ascii="Times New Roman" w:hAnsi="Times New Roman"/>
          <w:sz w:val="24"/>
          <w:szCs w:val="24"/>
        </w:rPr>
        <w:t>, KLASA: 612-01/16-01/28, URBR</w:t>
      </w:r>
      <w:r w:rsidR="00EE0639">
        <w:rPr>
          <w:rFonts w:ascii="Times New Roman" w:hAnsi="Times New Roman"/>
          <w:sz w:val="24"/>
          <w:szCs w:val="24"/>
        </w:rPr>
        <w:t>OJ</w:t>
      </w:r>
      <w:r w:rsidRPr="00200AA1">
        <w:rPr>
          <w:rFonts w:ascii="Times New Roman" w:hAnsi="Times New Roman"/>
          <w:sz w:val="24"/>
          <w:szCs w:val="24"/>
        </w:rPr>
        <w:t>: 2182/01-02-16-3) osnovala trgovačko društvo Fortifikacije Šibenik d.o.o (Izjava o osnivanju 03. kolovoza 2016.</w:t>
      </w:r>
      <w:r w:rsidR="00EE0639">
        <w:rPr>
          <w:rFonts w:ascii="Times New Roman" w:hAnsi="Times New Roman"/>
          <w:sz w:val="24"/>
          <w:szCs w:val="24"/>
        </w:rPr>
        <w:t xml:space="preserve"> godine</w:t>
      </w:r>
      <w:r w:rsidRPr="00200AA1">
        <w:rPr>
          <w:rFonts w:ascii="Times New Roman" w:hAnsi="Times New Roman"/>
          <w:sz w:val="24"/>
          <w:szCs w:val="24"/>
        </w:rPr>
        <w:t xml:space="preserve">)  čija je svrha upravo upravljanje ugostiteljskim objektom na Tvrđavi Barone, ali i obaveza plaćanja najma prostora zakupodavcu Tvrđavi kulture Šibenik. </w:t>
      </w:r>
    </w:p>
    <w:p w:rsidR="00D27701" w:rsidRDefault="00200AA1" w:rsidP="001533FF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200AA1">
        <w:rPr>
          <w:rFonts w:ascii="Times New Roman" w:hAnsi="Times New Roman"/>
          <w:sz w:val="24"/>
          <w:szCs w:val="24"/>
        </w:rPr>
        <w:t xml:space="preserve">Od samog početka poslovanja, </w:t>
      </w:r>
      <w:r w:rsidR="00EE0639">
        <w:rPr>
          <w:rFonts w:ascii="Times New Roman" w:hAnsi="Times New Roman"/>
          <w:sz w:val="24"/>
          <w:szCs w:val="24"/>
        </w:rPr>
        <w:t>o</w:t>
      </w:r>
      <w:r w:rsidRPr="00200AA1">
        <w:rPr>
          <w:rFonts w:ascii="Times New Roman" w:hAnsi="Times New Roman"/>
          <w:sz w:val="24"/>
          <w:szCs w:val="24"/>
        </w:rPr>
        <w:t xml:space="preserve">snivač društva </w:t>
      </w:r>
      <w:r w:rsidR="00EE0639">
        <w:rPr>
          <w:rFonts w:ascii="Times New Roman" w:hAnsi="Times New Roman"/>
          <w:sz w:val="24"/>
          <w:szCs w:val="24"/>
        </w:rPr>
        <w:t xml:space="preserve">(Ustanova) </w:t>
      </w:r>
      <w:r w:rsidRPr="00200AA1">
        <w:rPr>
          <w:rFonts w:ascii="Times New Roman" w:hAnsi="Times New Roman"/>
          <w:sz w:val="24"/>
          <w:szCs w:val="24"/>
        </w:rPr>
        <w:t xml:space="preserve">susreće se s izazovima tržišta koji mu onemogućavaju da bude jednako konkurentan unutar sektora ugostiteljstva od čega je najznačajnija ovisnost prometa o radnom vremenu, broju i strukturi posjetitelja Tvrđave Barone, poštivanje smjernica iz EU projekta i držanje objekta otvorenim i van turističke sezone (neprofitabilno), te suradnja samo s lokalnim proizvođačima koji su mogli udovoljiti standardima koje je propisivao EU projekt.  </w:t>
      </w:r>
    </w:p>
    <w:p w:rsidR="00E8474D" w:rsidRDefault="00200AA1" w:rsidP="001533FF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200AA1">
        <w:rPr>
          <w:rFonts w:ascii="Times New Roman" w:hAnsi="Times New Roman"/>
          <w:sz w:val="24"/>
          <w:szCs w:val="24"/>
        </w:rPr>
        <w:lastRenderedPageBreak/>
        <w:t>Sukladno navedenom, društvo je primorano od osnivača tražiti kratkoročne pozajmice da bi pokrilo svoje tekuće obveze prema zaposlenicima i dobavljačima u zimskom periodu godine. Dodatno, kao posljedica epidemije virusa Covid 19, gospodarska kriza najviše je pogodila sektor ugostiteljstva, te se nije realizirao očekivani pozitivan trend poslovanja u 2020.</w:t>
      </w:r>
      <w:r w:rsidR="00EE0639">
        <w:rPr>
          <w:rFonts w:ascii="Times New Roman" w:hAnsi="Times New Roman"/>
          <w:sz w:val="24"/>
          <w:szCs w:val="24"/>
        </w:rPr>
        <w:t xml:space="preserve"> godini</w:t>
      </w:r>
      <w:r w:rsidRPr="00200AA1">
        <w:rPr>
          <w:rFonts w:ascii="Times New Roman" w:hAnsi="Times New Roman"/>
          <w:sz w:val="24"/>
          <w:szCs w:val="24"/>
        </w:rPr>
        <w:t xml:space="preserve">; širenje tržišta, ostvarenje većih prihoda te bolja tekuća likvidnost društva i mogućnost vraćanja pozajmice čija </w:t>
      </w:r>
      <w:r w:rsidRPr="003D48E5">
        <w:rPr>
          <w:rFonts w:ascii="Times New Roman" w:hAnsi="Times New Roman"/>
          <w:sz w:val="24"/>
          <w:szCs w:val="24"/>
        </w:rPr>
        <w:t>je vrijednost na početku 2020. iznosila 470.000,00 kn, te na kraju 2020.</w:t>
      </w:r>
      <w:r w:rsidR="00183EB2">
        <w:rPr>
          <w:rFonts w:ascii="Times New Roman" w:hAnsi="Times New Roman"/>
          <w:sz w:val="24"/>
          <w:szCs w:val="24"/>
        </w:rPr>
        <w:t xml:space="preserve"> </w:t>
      </w:r>
      <w:r w:rsidR="0098129D">
        <w:rPr>
          <w:rFonts w:ascii="Times New Roman" w:hAnsi="Times New Roman"/>
          <w:sz w:val="24"/>
          <w:szCs w:val="24"/>
        </w:rPr>
        <w:t>godine</w:t>
      </w:r>
      <w:r w:rsidRPr="003D48E5">
        <w:rPr>
          <w:rFonts w:ascii="Times New Roman" w:hAnsi="Times New Roman"/>
          <w:sz w:val="24"/>
          <w:szCs w:val="24"/>
        </w:rPr>
        <w:t xml:space="preserve"> 630.000,00 kn. </w:t>
      </w:r>
    </w:p>
    <w:p w:rsidR="00200AA1" w:rsidRPr="00200AA1" w:rsidRDefault="00200AA1" w:rsidP="001533FF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200AA1">
        <w:rPr>
          <w:rFonts w:ascii="Times New Roman" w:hAnsi="Times New Roman"/>
          <w:sz w:val="24"/>
          <w:szCs w:val="24"/>
        </w:rPr>
        <w:t xml:space="preserve">Ustanova je u svojim financijskim planovima predvidjela davanje kratkoročnih zajmova te ih regulirala međusobnim </w:t>
      </w:r>
      <w:r w:rsidR="00183EB2">
        <w:rPr>
          <w:rFonts w:ascii="Times New Roman" w:hAnsi="Times New Roman"/>
          <w:sz w:val="24"/>
          <w:szCs w:val="24"/>
        </w:rPr>
        <w:t>u</w:t>
      </w:r>
      <w:r w:rsidRPr="00200AA1">
        <w:rPr>
          <w:rFonts w:ascii="Times New Roman" w:hAnsi="Times New Roman"/>
          <w:sz w:val="24"/>
          <w:szCs w:val="24"/>
        </w:rPr>
        <w:t>govorima s povezanim društvom.</w:t>
      </w:r>
    </w:p>
    <w:p w:rsidR="00200AA1" w:rsidRPr="00200AA1" w:rsidRDefault="00200AA1" w:rsidP="00200AA1">
      <w:pPr>
        <w:ind w:left="1068"/>
        <w:jc w:val="both"/>
        <w:rPr>
          <w:rFonts w:ascii="Times New Roman" w:hAnsi="Times New Roman"/>
          <w:sz w:val="24"/>
          <w:szCs w:val="24"/>
        </w:rPr>
      </w:pPr>
    </w:p>
    <w:sectPr w:rsidR="00200AA1" w:rsidRPr="00200AA1" w:rsidSect="00D8563C"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8C6" w:rsidRDefault="00F448C6" w:rsidP="003A5D2A">
      <w:pPr>
        <w:spacing w:after="0" w:line="240" w:lineRule="auto"/>
      </w:pPr>
      <w:r>
        <w:separator/>
      </w:r>
    </w:p>
  </w:endnote>
  <w:endnote w:type="continuationSeparator" w:id="0">
    <w:p w:rsidR="00F448C6" w:rsidRDefault="00F448C6" w:rsidP="003A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495"/>
      <w:docPartObj>
        <w:docPartGallery w:val="Page Numbers (Bottom of Page)"/>
        <w:docPartUnique/>
      </w:docPartObj>
    </w:sdtPr>
    <w:sdtContent>
      <w:p w:rsidR="00183EB2" w:rsidRDefault="00183EB2">
        <w:pPr>
          <w:pStyle w:val="Footer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183EB2" w:rsidRDefault="00183E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8C6" w:rsidRDefault="00F448C6" w:rsidP="003A5D2A">
      <w:pPr>
        <w:spacing w:after="0" w:line="240" w:lineRule="auto"/>
      </w:pPr>
      <w:r>
        <w:separator/>
      </w:r>
    </w:p>
  </w:footnote>
  <w:footnote w:type="continuationSeparator" w:id="0">
    <w:p w:rsidR="00F448C6" w:rsidRDefault="00F448C6" w:rsidP="003A5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69F"/>
    <w:multiLevelType w:val="hybridMultilevel"/>
    <w:tmpl w:val="642E8E24"/>
    <w:lvl w:ilvl="0" w:tplc="700015C4">
      <w:start w:val="1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C7085A"/>
    <w:multiLevelType w:val="hybridMultilevel"/>
    <w:tmpl w:val="55FC161A"/>
    <w:lvl w:ilvl="0" w:tplc="D19020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E40E3"/>
    <w:multiLevelType w:val="hybridMultilevel"/>
    <w:tmpl w:val="F96AFB42"/>
    <w:lvl w:ilvl="0" w:tplc="E3024D32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51C2D"/>
    <w:multiLevelType w:val="hybridMultilevel"/>
    <w:tmpl w:val="7E0046F0"/>
    <w:lvl w:ilvl="0" w:tplc="6900A9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7604571"/>
    <w:multiLevelType w:val="hybridMultilevel"/>
    <w:tmpl w:val="ACDE3D78"/>
    <w:lvl w:ilvl="0" w:tplc="43BAC99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7F20CB3"/>
    <w:multiLevelType w:val="hybridMultilevel"/>
    <w:tmpl w:val="8AA09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1510F"/>
    <w:multiLevelType w:val="hybridMultilevel"/>
    <w:tmpl w:val="6F14EE66"/>
    <w:lvl w:ilvl="0" w:tplc="9B9EABF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262"/>
    <w:rsid w:val="00000B57"/>
    <w:rsid w:val="00001321"/>
    <w:rsid w:val="000074CE"/>
    <w:rsid w:val="00007873"/>
    <w:rsid w:val="00011361"/>
    <w:rsid w:val="000119BC"/>
    <w:rsid w:val="00017777"/>
    <w:rsid w:val="00022535"/>
    <w:rsid w:val="000229FA"/>
    <w:rsid w:val="00026A8B"/>
    <w:rsid w:val="000331C1"/>
    <w:rsid w:val="00047723"/>
    <w:rsid w:val="00050D4F"/>
    <w:rsid w:val="00052C82"/>
    <w:rsid w:val="00055E63"/>
    <w:rsid w:val="00062FBC"/>
    <w:rsid w:val="00064F47"/>
    <w:rsid w:val="00070821"/>
    <w:rsid w:val="000839E0"/>
    <w:rsid w:val="000919DB"/>
    <w:rsid w:val="00091BF3"/>
    <w:rsid w:val="00095FE7"/>
    <w:rsid w:val="000A41AD"/>
    <w:rsid w:val="000B2C81"/>
    <w:rsid w:val="000B3847"/>
    <w:rsid w:val="000C0313"/>
    <w:rsid w:val="000C5F7E"/>
    <w:rsid w:val="000D55DF"/>
    <w:rsid w:val="000D60FD"/>
    <w:rsid w:val="000E4799"/>
    <w:rsid w:val="000F5814"/>
    <w:rsid w:val="00103862"/>
    <w:rsid w:val="00111B0C"/>
    <w:rsid w:val="00113749"/>
    <w:rsid w:val="00114259"/>
    <w:rsid w:val="001144A3"/>
    <w:rsid w:val="00117987"/>
    <w:rsid w:val="00120223"/>
    <w:rsid w:val="00132E84"/>
    <w:rsid w:val="001366C1"/>
    <w:rsid w:val="00143B79"/>
    <w:rsid w:val="00145EFE"/>
    <w:rsid w:val="00152FEB"/>
    <w:rsid w:val="001533FF"/>
    <w:rsid w:val="00153590"/>
    <w:rsid w:val="00154BC0"/>
    <w:rsid w:val="00156ACA"/>
    <w:rsid w:val="00160E9F"/>
    <w:rsid w:val="00165262"/>
    <w:rsid w:val="00171689"/>
    <w:rsid w:val="00183EB2"/>
    <w:rsid w:val="001A5B21"/>
    <w:rsid w:val="001B22CF"/>
    <w:rsid w:val="001B531B"/>
    <w:rsid w:val="001C0D9E"/>
    <w:rsid w:val="001C4469"/>
    <w:rsid w:val="001D08DB"/>
    <w:rsid w:val="001D6D6D"/>
    <w:rsid w:val="001E0236"/>
    <w:rsid w:val="001E118E"/>
    <w:rsid w:val="001E2EB0"/>
    <w:rsid w:val="001E564A"/>
    <w:rsid w:val="001F2BBC"/>
    <w:rsid w:val="001F3D69"/>
    <w:rsid w:val="001F507E"/>
    <w:rsid w:val="00200AA1"/>
    <w:rsid w:val="00201893"/>
    <w:rsid w:val="0020261A"/>
    <w:rsid w:val="00207C43"/>
    <w:rsid w:val="00215888"/>
    <w:rsid w:val="0021677D"/>
    <w:rsid w:val="00222CAB"/>
    <w:rsid w:val="002236AF"/>
    <w:rsid w:val="002247A3"/>
    <w:rsid w:val="00236580"/>
    <w:rsid w:val="00240DEA"/>
    <w:rsid w:val="00253F4B"/>
    <w:rsid w:val="00256E1D"/>
    <w:rsid w:val="002615F8"/>
    <w:rsid w:val="0026498C"/>
    <w:rsid w:val="00273CEF"/>
    <w:rsid w:val="002811B3"/>
    <w:rsid w:val="00284486"/>
    <w:rsid w:val="00285904"/>
    <w:rsid w:val="0028635B"/>
    <w:rsid w:val="00292B14"/>
    <w:rsid w:val="00297939"/>
    <w:rsid w:val="002A419E"/>
    <w:rsid w:val="002A7A95"/>
    <w:rsid w:val="002C2107"/>
    <w:rsid w:val="002D073D"/>
    <w:rsid w:val="002D2C52"/>
    <w:rsid w:val="002D5595"/>
    <w:rsid w:val="002E2906"/>
    <w:rsid w:val="002E3D53"/>
    <w:rsid w:val="002F7E87"/>
    <w:rsid w:val="003013CD"/>
    <w:rsid w:val="003020B9"/>
    <w:rsid w:val="003027D8"/>
    <w:rsid w:val="003068A4"/>
    <w:rsid w:val="00307049"/>
    <w:rsid w:val="00315493"/>
    <w:rsid w:val="00315F00"/>
    <w:rsid w:val="00317BC3"/>
    <w:rsid w:val="00323715"/>
    <w:rsid w:val="003273E9"/>
    <w:rsid w:val="0032796F"/>
    <w:rsid w:val="0033042C"/>
    <w:rsid w:val="00330A02"/>
    <w:rsid w:val="0033354E"/>
    <w:rsid w:val="00334D6D"/>
    <w:rsid w:val="003363DC"/>
    <w:rsid w:val="00336C32"/>
    <w:rsid w:val="00341F66"/>
    <w:rsid w:val="0035002E"/>
    <w:rsid w:val="00350CB8"/>
    <w:rsid w:val="00357556"/>
    <w:rsid w:val="00363D76"/>
    <w:rsid w:val="00365C14"/>
    <w:rsid w:val="0036640A"/>
    <w:rsid w:val="003719C5"/>
    <w:rsid w:val="003763CE"/>
    <w:rsid w:val="00376FEF"/>
    <w:rsid w:val="00382936"/>
    <w:rsid w:val="0039220D"/>
    <w:rsid w:val="00395696"/>
    <w:rsid w:val="00397E49"/>
    <w:rsid w:val="003A046D"/>
    <w:rsid w:val="003A5D2A"/>
    <w:rsid w:val="003B0003"/>
    <w:rsid w:val="003B0732"/>
    <w:rsid w:val="003B3B3E"/>
    <w:rsid w:val="003B5DCD"/>
    <w:rsid w:val="003C0B6E"/>
    <w:rsid w:val="003C0D86"/>
    <w:rsid w:val="003C2D84"/>
    <w:rsid w:val="003C3EF9"/>
    <w:rsid w:val="003C4419"/>
    <w:rsid w:val="003C65C3"/>
    <w:rsid w:val="003C7B2A"/>
    <w:rsid w:val="003D2F04"/>
    <w:rsid w:val="003D3E47"/>
    <w:rsid w:val="003D3F39"/>
    <w:rsid w:val="003D48E5"/>
    <w:rsid w:val="003D5588"/>
    <w:rsid w:val="003E1307"/>
    <w:rsid w:val="003E17B9"/>
    <w:rsid w:val="003E6AAA"/>
    <w:rsid w:val="003F0741"/>
    <w:rsid w:val="003F0F01"/>
    <w:rsid w:val="003F1B70"/>
    <w:rsid w:val="003F2952"/>
    <w:rsid w:val="003F2AFD"/>
    <w:rsid w:val="003F5C1C"/>
    <w:rsid w:val="003F64A2"/>
    <w:rsid w:val="003F7F24"/>
    <w:rsid w:val="0040026E"/>
    <w:rsid w:val="0040156E"/>
    <w:rsid w:val="00403A2C"/>
    <w:rsid w:val="00405283"/>
    <w:rsid w:val="00410D34"/>
    <w:rsid w:val="00411E0A"/>
    <w:rsid w:val="004121F6"/>
    <w:rsid w:val="0041517E"/>
    <w:rsid w:val="00420E53"/>
    <w:rsid w:val="0042180A"/>
    <w:rsid w:val="004255C8"/>
    <w:rsid w:val="0042651B"/>
    <w:rsid w:val="00427189"/>
    <w:rsid w:val="00432789"/>
    <w:rsid w:val="0044302C"/>
    <w:rsid w:val="00450033"/>
    <w:rsid w:val="00453906"/>
    <w:rsid w:val="004662DD"/>
    <w:rsid w:val="004666F6"/>
    <w:rsid w:val="00466C97"/>
    <w:rsid w:val="004702CD"/>
    <w:rsid w:val="004741F8"/>
    <w:rsid w:val="0047774F"/>
    <w:rsid w:val="0048098F"/>
    <w:rsid w:val="004812E3"/>
    <w:rsid w:val="0048647A"/>
    <w:rsid w:val="004907BE"/>
    <w:rsid w:val="00491649"/>
    <w:rsid w:val="004A1F9A"/>
    <w:rsid w:val="004A2996"/>
    <w:rsid w:val="004A5E0D"/>
    <w:rsid w:val="004B3C47"/>
    <w:rsid w:val="004B5EAE"/>
    <w:rsid w:val="004C1A4C"/>
    <w:rsid w:val="004C2867"/>
    <w:rsid w:val="004C3076"/>
    <w:rsid w:val="004C4C51"/>
    <w:rsid w:val="004D1242"/>
    <w:rsid w:val="004D3988"/>
    <w:rsid w:val="004E0F87"/>
    <w:rsid w:val="004E47CB"/>
    <w:rsid w:val="004E755A"/>
    <w:rsid w:val="004F31CC"/>
    <w:rsid w:val="004F3F8E"/>
    <w:rsid w:val="004F441F"/>
    <w:rsid w:val="004F5874"/>
    <w:rsid w:val="00501C32"/>
    <w:rsid w:val="00503FF6"/>
    <w:rsid w:val="0051116E"/>
    <w:rsid w:val="00513C01"/>
    <w:rsid w:val="00513DBC"/>
    <w:rsid w:val="005216D5"/>
    <w:rsid w:val="0052324C"/>
    <w:rsid w:val="00524E58"/>
    <w:rsid w:val="0052747F"/>
    <w:rsid w:val="00530604"/>
    <w:rsid w:val="00532AB9"/>
    <w:rsid w:val="0053555D"/>
    <w:rsid w:val="005355C2"/>
    <w:rsid w:val="00535DF1"/>
    <w:rsid w:val="00540EEA"/>
    <w:rsid w:val="00544F2E"/>
    <w:rsid w:val="00546868"/>
    <w:rsid w:val="00547C74"/>
    <w:rsid w:val="00567FF6"/>
    <w:rsid w:val="00571AA8"/>
    <w:rsid w:val="005802C5"/>
    <w:rsid w:val="00587867"/>
    <w:rsid w:val="00597962"/>
    <w:rsid w:val="005A045E"/>
    <w:rsid w:val="005B1443"/>
    <w:rsid w:val="005B1F44"/>
    <w:rsid w:val="005B7F30"/>
    <w:rsid w:val="005C1FD7"/>
    <w:rsid w:val="005C3025"/>
    <w:rsid w:val="005C7CF3"/>
    <w:rsid w:val="005D241E"/>
    <w:rsid w:val="005D2AA7"/>
    <w:rsid w:val="005E2EC9"/>
    <w:rsid w:val="005E5165"/>
    <w:rsid w:val="005E70B7"/>
    <w:rsid w:val="005F33DB"/>
    <w:rsid w:val="005F78B4"/>
    <w:rsid w:val="006011B5"/>
    <w:rsid w:val="00605A41"/>
    <w:rsid w:val="00610F51"/>
    <w:rsid w:val="00616F2E"/>
    <w:rsid w:val="00621DFC"/>
    <w:rsid w:val="00623076"/>
    <w:rsid w:val="00623845"/>
    <w:rsid w:val="00625D09"/>
    <w:rsid w:val="0063543E"/>
    <w:rsid w:val="00637D0A"/>
    <w:rsid w:val="00645E11"/>
    <w:rsid w:val="006504E3"/>
    <w:rsid w:val="00651AE4"/>
    <w:rsid w:val="006532D0"/>
    <w:rsid w:val="00654515"/>
    <w:rsid w:val="006548CA"/>
    <w:rsid w:val="00664B29"/>
    <w:rsid w:val="006656FC"/>
    <w:rsid w:val="0066726F"/>
    <w:rsid w:val="00672BA4"/>
    <w:rsid w:val="00674CA7"/>
    <w:rsid w:val="00681E1C"/>
    <w:rsid w:val="00682350"/>
    <w:rsid w:val="006827B2"/>
    <w:rsid w:val="0069287B"/>
    <w:rsid w:val="00693853"/>
    <w:rsid w:val="00696743"/>
    <w:rsid w:val="00697326"/>
    <w:rsid w:val="006A00A0"/>
    <w:rsid w:val="006A20D8"/>
    <w:rsid w:val="006A4313"/>
    <w:rsid w:val="006B4502"/>
    <w:rsid w:val="006C3969"/>
    <w:rsid w:val="006D0D26"/>
    <w:rsid w:val="006D4FDF"/>
    <w:rsid w:val="006D69DE"/>
    <w:rsid w:val="006F0C9F"/>
    <w:rsid w:val="006F277B"/>
    <w:rsid w:val="006F286F"/>
    <w:rsid w:val="006F6099"/>
    <w:rsid w:val="00702B06"/>
    <w:rsid w:val="0070617E"/>
    <w:rsid w:val="0070738C"/>
    <w:rsid w:val="00723E37"/>
    <w:rsid w:val="007279EC"/>
    <w:rsid w:val="007408C5"/>
    <w:rsid w:val="00740E05"/>
    <w:rsid w:val="0075467C"/>
    <w:rsid w:val="0075616A"/>
    <w:rsid w:val="0076173C"/>
    <w:rsid w:val="00763E84"/>
    <w:rsid w:val="007669E2"/>
    <w:rsid w:val="00767D1A"/>
    <w:rsid w:val="00774833"/>
    <w:rsid w:val="00775D74"/>
    <w:rsid w:val="00777FA8"/>
    <w:rsid w:val="00780B5E"/>
    <w:rsid w:val="00783BDD"/>
    <w:rsid w:val="00786647"/>
    <w:rsid w:val="007871DC"/>
    <w:rsid w:val="007A1498"/>
    <w:rsid w:val="007A21FE"/>
    <w:rsid w:val="007A2E22"/>
    <w:rsid w:val="007A7DC1"/>
    <w:rsid w:val="007D11DB"/>
    <w:rsid w:val="007E10AB"/>
    <w:rsid w:val="007E1511"/>
    <w:rsid w:val="007E55F7"/>
    <w:rsid w:val="007E5832"/>
    <w:rsid w:val="007E5D7D"/>
    <w:rsid w:val="007F3877"/>
    <w:rsid w:val="0080072D"/>
    <w:rsid w:val="00810F3A"/>
    <w:rsid w:val="00812AED"/>
    <w:rsid w:val="00812C5D"/>
    <w:rsid w:val="00813567"/>
    <w:rsid w:val="00813F67"/>
    <w:rsid w:val="008208AC"/>
    <w:rsid w:val="0082090D"/>
    <w:rsid w:val="00820D3C"/>
    <w:rsid w:val="0082119F"/>
    <w:rsid w:val="00824964"/>
    <w:rsid w:val="00837092"/>
    <w:rsid w:val="00841EEF"/>
    <w:rsid w:val="00845532"/>
    <w:rsid w:val="008466D5"/>
    <w:rsid w:val="00850613"/>
    <w:rsid w:val="008673E5"/>
    <w:rsid w:val="00867C2E"/>
    <w:rsid w:val="00873C15"/>
    <w:rsid w:val="008808F9"/>
    <w:rsid w:val="008A3DF1"/>
    <w:rsid w:val="008A7F21"/>
    <w:rsid w:val="008B08DC"/>
    <w:rsid w:val="008B2E42"/>
    <w:rsid w:val="008B2E99"/>
    <w:rsid w:val="008B6F0C"/>
    <w:rsid w:val="008C216C"/>
    <w:rsid w:val="008C3A99"/>
    <w:rsid w:val="008D3AB7"/>
    <w:rsid w:val="008E01D2"/>
    <w:rsid w:val="008E1E42"/>
    <w:rsid w:val="008E2B1B"/>
    <w:rsid w:val="008E35E5"/>
    <w:rsid w:val="008F1E28"/>
    <w:rsid w:val="008F5B7C"/>
    <w:rsid w:val="00906462"/>
    <w:rsid w:val="009121FA"/>
    <w:rsid w:val="009154EE"/>
    <w:rsid w:val="009163DB"/>
    <w:rsid w:val="00917A85"/>
    <w:rsid w:val="00924AAB"/>
    <w:rsid w:val="009257CB"/>
    <w:rsid w:val="00926254"/>
    <w:rsid w:val="0092681A"/>
    <w:rsid w:val="00933D6C"/>
    <w:rsid w:val="009374BF"/>
    <w:rsid w:val="00946C98"/>
    <w:rsid w:val="00947C40"/>
    <w:rsid w:val="00950018"/>
    <w:rsid w:val="0095050C"/>
    <w:rsid w:val="00950F15"/>
    <w:rsid w:val="00956E60"/>
    <w:rsid w:val="009652F2"/>
    <w:rsid w:val="00974873"/>
    <w:rsid w:val="00975260"/>
    <w:rsid w:val="00980453"/>
    <w:rsid w:val="0098129D"/>
    <w:rsid w:val="00983F13"/>
    <w:rsid w:val="009879C0"/>
    <w:rsid w:val="0099116C"/>
    <w:rsid w:val="0099485B"/>
    <w:rsid w:val="00995863"/>
    <w:rsid w:val="009A0F42"/>
    <w:rsid w:val="009A3D40"/>
    <w:rsid w:val="009A3E7D"/>
    <w:rsid w:val="009A5276"/>
    <w:rsid w:val="009A7384"/>
    <w:rsid w:val="009A7B18"/>
    <w:rsid w:val="009B0016"/>
    <w:rsid w:val="009B0A62"/>
    <w:rsid w:val="009B1DBF"/>
    <w:rsid w:val="009B360B"/>
    <w:rsid w:val="009C1845"/>
    <w:rsid w:val="009C3C02"/>
    <w:rsid w:val="009D0976"/>
    <w:rsid w:val="009D0AD5"/>
    <w:rsid w:val="009D3C4B"/>
    <w:rsid w:val="009D56BE"/>
    <w:rsid w:val="009D5744"/>
    <w:rsid w:val="009E36A1"/>
    <w:rsid w:val="009E4805"/>
    <w:rsid w:val="00A044B8"/>
    <w:rsid w:val="00A06754"/>
    <w:rsid w:val="00A07EF2"/>
    <w:rsid w:val="00A07F76"/>
    <w:rsid w:val="00A1125F"/>
    <w:rsid w:val="00A16EB0"/>
    <w:rsid w:val="00A2183F"/>
    <w:rsid w:val="00A3056A"/>
    <w:rsid w:val="00A34C85"/>
    <w:rsid w:val="00A377A6"/>
    <w:rsid w:val="00A477A7"/>
    <w:rsid w:val="00A50FC3"/>
    <w:rsid w:val="00A521FA"/>
    <w:rsid w:val="00A531C3"/>
    <w:rsid w:val="00A63E5C"/>
    <w:rsid w:val="00A64D10"/>
    <w:rsid w:val="00A70B29"/>
    <w:rsid w:val="00A74ECE"/>
    <w:rsid w:val="00A77A7D"/>
    <w:rsid w:val="00A82674"/>
    <w:rsid w:val="00A8298F"/>
    <w:rsid w:val="00A9246D"/>
    <w:rsid w:val="00A94B34"/>
    <w:rsid w:val="00A97475"/>
    <w:rsid w:val="00AA21BE"/>
    <w:rsid w:val="00AA4915"/>
    <w:rsid w:val="00AB0FCD"/>
    <w:rsid w:val="00AB154E"/>
    <w:rsid w:val="00AB2C45"/>
    <w:rsid w:val="00AC19D2"/>
    <w:rsid w:val="00AC4FD3"/>
    <w:rsid w:val="00AD0394"/>
    <w:rsid w:val="00AD0BB8"/>
    <w:rsid w:val="00AD55F5"/>
    <w:rsid w:val="00AE5350"/>
    <w:rsid w:val="00B046AC"/>
    <w:rsid w:val="00B06890"/>
    <w:rsid w:val="00B07471"/>
    <w:rsid w:val="00B123C7"/>
    <w:rsid w:val="00B13A7F"/>
    <w:rsid w:val="00B17189"/>
    <w:rsid w:val="00B26100"/>
    <w:rsid w:val="00B2613B"/>
    <w:rsid w:val="00B352B0"/>
    <w:rsid w:val="00B40173"/>
    <w:rsid w:val="00B52C37"/>
    <w:rsid w:val="00B55453"/>
    <w:rsid w:val="00B63271"/>
    <w:rsid w:val="00B64D41"/>
    <w:rsid w:val="00B70158"/>
    <w:rsid w:val="00B719E0"/>
    <w:rsid w:val="00B734F1"/>
    <w:rsid w:val="00B77C07"/>
    <w:rsid w:val="00B8041F"/>
    <w:rsid w:val="00B8154A"/>
    <w:rsid w:val="00B83B8D"/>
    <w:rsid w:val="00B83CB3"/>
    <w:rsid w:val="00B843BF"/>
    <w:rsid w:val="00B97A75"/>
    <w:rsid w:val="00BA293E"/>
    <w:rsid w:val="00BA6E48"/>
    <w:rsid w:val="00BB3D87"/>
    <w:rsid w:val="00BB6FA2"/>
    <w:rsid w:val="00BC0716"/>
    <w:rsid w:val="00BC1650"/>
    <w:rsid w:val="00BC1C43"/>
    <w:rsid w:val="00BC3D44"/>
    <w:rsid w:val="00BC4733"/>
    <w:rsid w:val="00BC5294"/>
    <w:rsid w:val="00BD392B"/>
    <w:rsid w:val="00BE1A74"/>
    <w:rsid w:val="00BE3578"/>
    <w:rsid w:val="00BE36B0"/>
    <w:rsid w:val="00BE5B4E"/>
    <w:rsid w:val="00BE7EB5"/>
    <w:rsid w:val="00BF39F5"/>
    <w:rsid w:val="00BF3BF6"/>
    <w:rsid w:val="00BF5E2C"/>
    <w:rsid w:val="00BF6629"/>
    <w:rsid w:val="00BF696D"/>
    <w:rsid w:val="00BF788A"/>
    <w:rsid w:val="00C03415"/>
    <w:rsid w:val="00C0660B"/>
    <w:rsid w:val="00C066F3"/>
    <w:rsid w:val="00C11903"/>
    <w:rsid w:val="00C13ABC"/>
    <w:rsid w:val="00C14420"/>
    <w:rsid w:val="00C266CB"/>
    <w:rsid w:val="00C26B17"/>
    <w:rsid w:val="00C307AD"/>
    <w:rsid w:val="00C411BB"/>
    <w:rsid w:val="00C46338"/>
    <w:rsid w:val="00C508F4"/>
    <w:rsid w:val="00C556B3"/>
    <w:rsid w:val="00C614E1"/>
    <w:rsid w:val="00C61F87"/>
    <w:rsid w:val="00C63130"/>
    <w:rsid w:val="00C717C8"/>
    <w:rsid w:val="00C72383"/>
    <w:rsid w:val="00C774F8"/>
    <w:rsid w:val="00C92DDA"/>
    <w:rsid w:val="00C95B57"/>
    <w:rsid w:val="00C97202"/>
    <w:rsid w:val="00CA202C"/>
    <w:rsid w:val="00CA3035"/>
    <w:rsid w:val="00CB0C80"/>
    <w:rsid w:val="00CB793B"/>
    <w:rsid w:val="00CC06DD"/>
    <w:rsid w:val="00CE015A"/>
    <w:rsid w:val="00CE0BA1"/>
    <w:rsid w:val="00CF292D"/>
    <w:rsid w:val="00CF6943"/>
    <w:rsid w:val="00CF7A07"/>
    <w:rsid w:val="00D158B1"/>
    <w:rsid w:val="00D15BE5"/>
    <w:rsid w:val="00D240DF"/>
    <w:rsid w:val="00D2502E"/>
    <w:rsid w:val="00D27701"/>
    <w:rsid w:val="00D27CD9"/>
    <w:rsid w:val="00D3021E"/>
    <w:rsid w:val="00D30419"/>
    <w:rsid w:val="00D44C53"/>
    <w:rsid w:val="00D545A6"/>
    <w:rsid w:val="00D57885"/>
    <w:rsid w:val="00D6273B"/>
    <w:rsid w:val="00D67657"/>
    <w:rsid w:val="00D760B1"/>
    <w:rsid w:val="00D84838"/>
    <w:rsid w:val="00D8563C"/>
    <w:rsid w:val="00D90181"/>
    <w:rsid w:val="00D90D0E"/>
    <w:rsid w:val="00D94818"/>
    <w:rsid w:val="00DA5D78"/>
    <w:rsid w:val="00DC128D"/>
    <w:rsid w:val="00DC3E5D"/>
    <w:rsid w:val="00DC460D"/>
    <w:rsid w:val="00DC7775"/>
    <w:rsid w:val="00DD0A40"/>
    <w:rsid w:val="00DD3BCB"/>
    <w:rsid w:val="00DD5783"/>
    <w:rsid w:val="00DD581C"/>
    <w:rsid w:val="00DD594E"/>
    <w:rsid w:val="00DE06BF"/>
    <w:rsid w:val="00DE0B53"/>
    <w:rsid w:val="00DE13DF"/>
    <w:rsid w:val="00DE2D5F"/>
    <w:rsid w:val="00DE7686"/>
    <w:rsid w:val="00DE76EC"/>
    <w:rsid w:val="00DE7ADD"/>
    <w:rsid w:val="00E0532F"/>
    <w:rsid w:val="00E2107E"/>
    <w:rsid w:val="00E21185"/>
    <w:rsid w:val="00E23B84"/>
    <w:rsid w:val="00E268A0"/>
    <w:rsid w:val="00E3363B"/>
    <w:rsid w:val="00E33935"/>
    <w:rsid w:val="00E3655D"/>
    <w:rsid w:val="00E37A4A"/>
    <w:rsid w:val="00E4351C"/>
    <w:rsid w:val="00E5176B"/>
    <w:rsid w:val="00E51786"/>
    <w:rsid w:val="00E55C10"/>
    <w:rsid w:val="00E650A5"/>
    <w:rsid w:val="00E8474D"/>
    <w:rsid w:val="00E84B59"/>
    <w:rsid w:val="00E8610D"/>
    <w:rsid w:val="00E90A29"/>
    <w:rsid w:val="00EA27E7"/>
    <w:rsid w:val="00EA6410"/>
    <w:rsid w:val="00EB54D7"/>
    <w:rsid w:val="00EB6A7E"/>
    <w:rsid w:val="00EC1D8A"/>
    <w:rsid w:val="00EC3F08"/>
    <w:rsid w:val="00EC755A"/>
    <w:rsid w:val="00EC78DF"/>
    <w:rsid w:val="00ED09A5"/>
    <w:rsid w:val="00ED417A"/>
    <w:rsid w:val="00ED587F"/>
    <w:rsid w:val="00ED6C0F"/>
    <w:rsid w:val="00EE024A"/>
    <w:rsid w:val="00EE0639"/>
    <w:rsid w:val="00EE64BF"/>
    <w:rsid w:val="00EE778B"/>
    <w:rsid w:val="00EF1F81"/>
    <w:rsid w:val="00EF4592"/>
    <w:rsid w:val="00EF4762"/>
    <w:rsid w:val="00F00120"/>
    <w:rsid w:val="00F005C5"/>
    <w:rsid w:val="00F03C62"/>
    <w:rsid w:val="00F04058"/>
    <w:rsid w:val="00F14111"/>
    <w:rsid w:val="00F15CEE"/>
    <w:rsid w:val="00F21F69"/>
    <w:rsid w:val="00F24024"/>
    <w:rsid w:val="00F26402"/>
    <w:rsid w:val="00F400AA"/>
    <w:rsid w:val="00F418BA"/>
    <w:rsid w:val="00F41BED"/>
    <w:rsid w:val="00F443A2"/>
    <w:rsid w:val="00F448C6"/>
    <w:rsid w:val="00F448F5"/>
    <w:rsid w:val="00F45DBC"/>
    <w:rsid w:val="00F45F44"/>
    <w:rsid w:val="00F4631D"/>
    <w:rsid w:val="00F46E98"/>
    <w:rsid w:val="00F51903"/>
    <w:rsid w:val="00F52358"/>
    <w:rsid w:val="00F54218"/>
    <w:rsid w:val="00F643BC"/>
    <w:rsid w:val="00F658C2"/>
    <w:rsid w:val="00F677EF"/>
    <w:rsid w:val="00F74FE0"/>
    <w:rsid w:val="00F75FB0"/>
    <w:rsid w:val="00F76FC6"/>
    <w:rsid w:val="00F81D71"/>
    <w:rsid w:val="00F86671"/>
    <w:rsid w:val="00F86DF7"/>
    <w:rsid w:val="00F9180B"/>
    <w:rsid w:val="00F92F42"/>
    <w:rsid w:val="00F94DCF"/>
    <w:rsid w:val="00FB0805"/>
    <w:rsid w:val="00FB174E"/>
    <w:rsid w:val="00FB2AAB"/>
    <w:rsid w:val="00FC0ACC"/>
    <w:rsid w:val="00FC0B17"/>
    <w:rsid w:val="00FC13E0"/>
    <w:rsid w:val="00FD011F"/>
    <w:rsid w:val="00FD013C"/>
    <w:rsid w:val="00FD19DA"/>
    <w:rsid w:val="00FD2620"/>
    <w:rsid w:val="00FD4E82"/>
    <w:rsid w:val="00FD4F23"/>
    <w:rsid w:val="00FE5F91"/>
    <w:rsid w:val="00FE63F2"/>
    <w:rsid w:val="00FE7F23"/>
    <w:rsid w:val="00FF2967"/>
    <w:rsid w:val="00FF2B22"/>
    <w:rsid w:val="00FF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D2A"/>
  </w:style>
  <w:style w:type="paragraph" w:styleId="Footer">
    <w:name w:val="footer"/>
    <w:basedOn w:val="Normal"/>
    <w:link w:val="FooterChar"/>
    <w:uiPriority w:val="99"/>
    <w:unhideWhenUsed/>
    <w:rsid w:val="003A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2A"/>
  </w:style>
  <w:style w:type="paragraph" w:styleId="ListParagraph">
    <w:name w:val="List Paragraph"/>
    <w:basedOn w:val="Normal"/>
    <w:uiPriority w:val="34"/>
    <w:qFormat/>
    <w:rsid w:val="00C61F87"/>
    <w:pPr>
      <w:ind w:left="720"/>
      <w:contextualSpacing/>
    </w:pPr>
  </w:style>
  <w:style w:type="table" w:styleId="MediumShading2-Accent3">
    <w:name w:val="Medium Shading 2 Accent 3"/>
    <w:basedOn w:val="TableNormal"/>
    <w:uiPriority w:val="64"/>
    <w:rsid w:val="009E48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3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933D6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odyTextIndent">
    <w:name w:val="Body Text Indent"/>
    <w:basedOn w:val="Normal"/>
    <w:link w:val="BodyTextIndentChar"/>
    <w:rsid w:val="00120223"/>
    <w:pPr>
      <w:spacing w:after="0" w:line="240" w:lineRule="auto"/>
      <w:ind w:firstLine="851"/>
      <w:jc w:val="both"/>
    </w:pPr>
    <w:rPr>
      <w:rFonts w:ascii="Arial" w:eastAsia="Times New Roman" w:hAnsi="Arial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120223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48675-305F-435A-B954-DF010501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3816</Words>
  <Characters>21753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Sibenik</dc:creator>
  <cp:lastModifiedBy>Bobo</cp:lastModifiedBy>
  <cp:revision>2</cp:revision>
  <cp:lastPrinted>2021-03-25T10:28:00Z</cp:lastPrinted>
  <dcterms:created xsi:type="dcterms:W3CDTF">2021-07-19T06:01:00Z</dcterms:created>
  <dcterms:modified xsi:type="dcterms:W3CDTF">2021-07-19T06:01:00Z</dcterms:modified>
</cp:coreProperties>
</file>